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rPr>
      </w:pPr>
    </w:p>
    <w:p w14:paraId="714F5770" w14:textId="31684A32" w:rsidR="00172E92" w:rsidRPr="00295888" w:rsidRDefault="00172E92" w:rsidP="00172E92">
      <w:pPr>
        <w:jc w:val="center"/>
        <w:rPr>
          <w:b/>
          <w:sz w:val="28"/>
          <w:szCs w:val="28"/>
        </w:rPr>
      </w:pPr>
      <w:bookmarkStart w:id="0" w:name="_Hlk137204572"/>
      <w:r w:rsidRPr="00295888">
        <w:rPr>
          <w:b/>
          <w:sz w:val="28"/>
          <w:szCs w:val="28"/>
        </w:rPr>
        <w:t>CENU APTAUJA</w:t>
      </w:r>
    </w:p>
    <w:bookmarkEnd w:id="0"/>
    <w:p w14:paraId="0BDA61F2" w14:textId="2030C42D" w:rsidR="00172E92" w:rsidRDefault="00172E92" w:rsidP="00BE353F">
      <w:pPr>
        <w:jc w:val="center"/>
        <w:rPr>
          <w:b/>
          <w:sz w:val="28"/>
          <w:szCs w:val="28"/>
        </w:rPr>
      </w:pPr>
      <w:r w:rsidRPr="00295888">
        <w:rPr>
          <w:b/>
          <w:sz w:val="28"/>
          <w:szCs w:val="28"/>
        </w:rPr>
        <w:t>“</w:t>
      </w:r>
      <w:r w:rsidR="007A5C17" w:rsidRPr="007A5C17">
        <w:rPr>
          <w:b/>
          <w:sz w:val="28"/>
          <w:szCs w:val="28"/>
        </w:rPr>
        <w:t>Komandu spēlētāju nojumes ar piegādi un uzstādīšanu</w:t>
      </w:r>
      <w:r w:rsidR="00BE353F">
        <w:rPr>
          <w:b/>
          <w:sz w:val="28"/>
          <w:szCs w:val="28"/>
        </w:rPr>
        <w:t>”</w:t>
      </w:r>
    </w:p>
    <w:p w14:paraId="423BB94B" w14:textId="77777777" w:rsidR="007A5C17" w:rsidRDefault="007A5C17" w:rsidP="00BE353F">
      <w:pPr>
        <w:jc w:val="center"/>
        <w:rPr>
          <w:b/>
          <w:sz w:val="28"/>
          <w:szCs w:val="28"/>
        </w:rPr>
      </w:pPr>
    </w:p>
    <w:p w14:paraId="53C13445" w14:textId="77777777" w:rsidR="00172E92" w:rsidRPr="00295888" w:rsidRDefault="00172E92" w:rsidP="00172E92">
      <w:pPr>
        <w:jc w:val="center"/>
        <w:rPr>
          <w:b/>
          <w:sz w:val="28"/>
          <w:szCs w:val="28"/>
        </w:rPr>
      </w:pPr>
    </w:p>
    <w:p w14:paraId="53EC36F0" w14:textId="77777777" w:rsidR="00172E92" w:rsidRPr="00295888" w:rsidRDefault="00172E92" w:rsidP="00172E92">
      <w:pPr>
        <w:spacing w:after="120"/>
        <w:rPr>
          <w:b/>
        </w:rPr>
      </w:pPr>
      <w:r w:rsidRPr="00295888">
        <w:rPr>
          <w:b/>
          <w:u w:val="single"/>
        </w:rPr>
        <w:t>Informācija par pasūtītāju</w:t>
      </w:r>
      <w:r w:rsidRPr="00295888">
        <w:rPr>
          <w:b/>
        </w:rPr>
        <w:t>:</w:t>
      </w:r>
    </w:p>
    <w:tbl>
      <w:tblPr>
        <w:tblStyle w:val="Reatabula"/>
        <w:tblW w:w="0" w:type="auto"/>
        <w:tblLook w:val="04A0" w:firstRow="1" w:lastRow="0" w:firstColumn="1" w:lastColumn="0" w:noHBand="0" w:noVBand="1"/>
      </w:tblPr>
      <w:tblGrid>
        <w:gridCol w:w="2972"/>
        <w:gridCol w:w="6051"/>
      </w:tblGrid>
      <w:tr w:rsidR="00172E92" w:rsidRPr="00295888" w14:paraId="51470872" w14:textId="77777777" w:rsidTr="00F003B0">
        <w:trPr>
          <w:trHeight w:val="415"/>
        </w:trPr>
        <w:tc>
          <w:tcPr>
            <w:tcW w:w="2972" w:type="dxa"/>
          </w:tcPr>
          <w:p w14:paraId="28046D9B" w14:textId="77777777" w:rsidR="00172E92" w:rsidRPr="00295888" w:rsidRDefault="00172E92" w:rsidP="009F40D8">
            <w:pPr>
              <w:spacing w:after="120"/>
            </w:pPr>
            <w:r w:rsidRPr="00295888">
              <w:t>Nosaukums:</w:t>
            </w:r>
          </w:p>
        </w:tc>
        <w:tc>
          <w:tcPr>
            <w:tcW w:w="6051" w:type="dxa"/>
          </w:tcPr>
          <w:p w14:paraId="4CED93AC" w14:textId="77777777" w:rsidR="00172E92" w:rsidRPr="00295888" w:rsidRDefault="00172E92" w:rsidP="009F40D8">
            <w:pPr>
              <w:spacing w:after="120"/>
            </w:pPr>
            <w:r w:rsidRPr="00295888">
              <w:t>Ropažu novada pašvaldība</w:t>
            </w:r>
          </w:p>
        </w:tc>
      </w:tr>
      <w:tr w:rsidR="00172E92" w:rsidRPr="00295888" w14:paraId="092AEB44" w14:textId="77777777" w:rsidTr="00F003B0">
        <w:trPr>
          <w:trHeight w:val="415"/>
        </w:trPr>
        <w:tc>
          <w:tcPr>
            <w:tcW w:w="2972" w:type="dxa"/>
          </w:tcPr>
          <w:p w14:paraId="2D1BEAE3" w14:textId="77777777" w:rsidR="00172E92" w:rsidRPr="00295888" w:rsidRDefault="00172E92" w:rsidP="009F40D8">
            <w:pPr>
              <w:spacing w:after="120"/>
            </w:pPr>
            <w:r w:rsidRPr="00295888">
              <w:t>Reģistrācijas numurs:</w:t>
            </w:r>
          </w:p>
        </w:tc>
        <w:tc>
          <w:tcPr>
            <w:tcW w:w="6051" w:type="dxa"/>
          </w:tcPr>
          <w:p w14:paraId="230EC867" w14:textId="77777777" w:rsidR="00172E92" w:rsidRPr="00295888" w:rsidRDefault="00172E92" w:rsidP="009F40D8">
            <w:pPr>
              <w:spacing w:after="120"/>
            </w:pPr>
            <w:r w:rsidRPr="00295888">
              <w:t>90000067986</w:t>
            </w:r>
          </w:p>
        </w:tc>
      </w:tr>
      <w:tr w:rsidR="00172E92" w:rsidRPr="00295888" w14:paraId="7A0C71AA" w14:textId="77777777" w:rsidTr="00F003B0">
        <w:trPr>
          <w:trHeight w:val="692"/>
        </w:trPr>
        <w:tc>
          <w:tcPr>
            <w:tcW w:w="2972" w:type="dxa"/>
          </w:tcPr>
          <w:p w14:paraId="4E904CFE" w14:textId="77777777" w:rsidR="00172E92" w:rsidRPr="00295888" w:rsidRDefault="00172E92" w:rsidP="009F40D8">
            <w:pPr>
              <w:spacing w:after="120"/>
            </w:pPr>
            <w:r w:rsidRPr="00295888">
              <w:t>Juridiskā adrese:</w:t>
            </w:r>
          </w:p>
        </w:tc>
        <w:tc>
          <w:tcPr>
            <w:tcW w:w="6051" w:type="dxa"/>
          </w:tcPr>
          <w:p w14:paraId="10E69C72" w14:textId="77777777" w:rsidR="00172E92" w:rsidRPr="00295888" w:rsidRDefault="00172E92" w:rsidP="009F40D8">
            <w:pPr>
              <w:spacing w:after="120"/>
            </w:pPr>
            <w:r w:rsidRPr="00295888">
              <w:t>Institūta iela 1a, Ulbroka, Stopiņu pagasts, Ropažu novads, LV-2130</w:t>
            </w:r>
          </w:p>
        </w:tc>
      </w:tr>
      <w:tr w:rsidR="00F003B0" w:rsidRPr="00295888" w14:paraId="0085C64F" w14:textId="77777777" w:rsidTr="00F003B0">
        <w:trPr>
          <w:trHeight w:val="692"/>
        </w:trPr>
        <w:tc>
          <w:tcPr>
            <w:tcW w:w="2972" w:type="dxa"/>
          </w:tcPr>
          <w:p w14:paraId="7EB1AA4A" w14:textId="1C590301" w:rsidR="00F003B0" w:rsidRPr="00295888" w:rsidRDefault="00F003B0" w:rsidP="009F40D8">
            <w:pPr>
              <w:spacing w:after="120"/>
            </w:pPr>
            <w:r>
              <w:t xml:space="preserve">Iestādes Kontaktpersona: </w:t>
            </w:r>
          </w:p>
        </w:tc>
        <w:tc>
          <w:tcPr>
            <w:tcW w:w="6051" w:type="dxa"/>
          </w:tcPr>
          <w:p w14:paraId="0AC7C50D" w14:textId="77777777" w:rsidR="00302211" w:rsidRDefault="00302211" w:rsidP="00302211">
            <w:pPr>
              <w:spacing w:after="120"/>
            </w:pPr>
            <w:r>
              <w:t>Evita Eglāja</w:t>
            </w:r>
          </w:p>
          <w:p w14:paraId="0D690DC4" w14:textId="1415C538" w:rsidR="00302211" w:rsidRDefault="00302211" w:rsidP="00302211">
            <w:pPr>
              <w:spacing w:after="120"/>
            </w:pPr>
            <w:proofErr w:type="spellStart"/>
            <w:r>
              <w:t>Tālr</w:t>
            </w:r>
            <w:proofErr w:type="spellEnd"/>
            <w:r>
              <w:t>: +371 29576220</w:t>
            </w:r>
          </w:p>
          <w:p w14:paraId="00DEDB0A" w14:textId="223BA66D" w:rsidR="00F003B0" w:rsidRPr="00295888" w:rsidRDefault="00302211" w:rsidP="00302211">
            <w:pPr>
              <w:spacing w:after="120"/>
            </w:pPr>
            <w:r>
              <w:t>E-pasts: evita.eglaja@ropazi.lv</w:t>
            </w:r>
          </w:p>
        </w:tc>
      </w:tr>
      <w:tr w:rsidR="00172E92" w:rsidRPr="00295888" w14:paraId="64D05AA5" w14:textId="77777777" w:rsidTr="00F003B0">
        <w:trPr>
          <w:trHeight w:val="704"/>
        </w:trPr>
        <w:tc>
          <w:tcPr>
            <w:tcW w:w="2972" w:type="dxa"/>
          </w:tcPr>
          <w:p w14:paraId="7AE22C37" w14:textId="77777777" w:rsidR="00172E92" w:rsidRPr="00295888" w:rsidRDefault="00172E92" w:rsidP="009F40D8">
            <w:pPr>
              <w:spacing w:after="120"/>
              <w:rPr>
                <w:b/>
                <w:bCs/>
              </w:rPr>
            </w:pPr>
            <w:r w:rsidRPr="00295888">
              <w:rPr>
                <w:b/>
                <w:bCs/>
              </w:rPr>
              <w:t>Cenu piedāvājumu sūtīt uz e-pasta adresi:</w:t>
            </w:r>
          </w:p>
        </w:tc>
        <w:tc>
          <w:tcPr>
            <w:tcW w:w="6051" w:type="dxa"/>
          </w:tcPr>
          <w:p w14:paraId="51C745DF" w14:textId="77777777" w:rsidR="00172E92" w:rsidRPr="00295888" w:rsidRDefault="00172E92" w:rsidP="009F40D8">
            <w:pPr>
              <w:spacing w:after="120"/>
            </w:pPr>
            <w:r w:rsidRPr="00295888">
              <w:t xml:space="preserve">cenu.aptaujas@ropazi.lv </w:t>
            </w:r>
          </w:p>
        </w:tc>
      </w:tr>
      <w:tr w:rsidR="00172E92" w:rsidRPr="00295888" w14:paraId="5F1345D5" w14:textId="77777777" w:rsidTr="00F003B0">
        <w:trPr>
          <w:trHeight w:val="704"/>
        </w:trPr>
        <w:tc>
          <w:tcPr>
            <w:tcW w:w="2972" w:type="dxa"/>
          </w:tcPr>
          <w:p w14:paraId="28325598" w14:textId="77777777" w:rsidR="00172E92" w:rsidRPr="00295888" w:rsidRDefault="00172E92" w:rsidP="009F40D8">
            <w:pPr>
              <w:spacing w:after="120"/>
            </w:pPr>
            <w:r w:rsidRPr="00295888">
              <w:t>Piedāvājumu iesniegšanas termiņš:</w:t>
            </w:r>
          </w:p>
        </w:tc>
        <w:tc>
          <w:tcPr>
            <w:tcW w:w="6051" w:type="dxa"/>
          </w:tcPr>
          <w:p w14:paraId="2E0A600B" w14:textId="746D5049" w:rsidR="00172E92" w:rsidRPr="00295888" w:rsidRDefault="002C1C1F" w:rsidP="009F40D8">
            <w:pPr>
              <w:spacing w:after="120"/>
            </w:pPr>
            <w:r w:rsidRPr="002C1C1F">
              <w:t xml:space="preserve">Līdz </w:t>
            </w:r>
            <w:r w:rsidR="00F110E4">
              <w:t>2</w:t>
            </w:r>
            <w:r w:rsidR="007A5C17">
              <w:t>4</w:t>
            </w:r>
            <w:r w:rsidRPr="002C1C1F">
              <w:t xml:space="preserve">.04.2026. plkst. </w:t>
            </w:r>
            <w:r w:rsidR="007A5C17">
              <w:t>09</w:t>
            </w:r>
            <w:r w:rsidRPr="002C1C1F">
              <w:t>:00</w:t>
            </w:r>
          </w:p>
        </w:tc>
      </w:tr>
    </w:tbl>
    <w:p w14:paraId="016AF34B" w14:textId="77777777" w:rsidR="00172E92" w:rsidRPr="00295888" w:rsidRDefault="00172E92" w:rsidP="00172E92">
      <w:pPr>
        <w:rPr>
          <w:b/>
        </w:rPr>
      </w:pPr>
    </w:p>
    <w:p w14:paraId="7F0441D5" w14:textId="04996E73" w:rsidR="00172E92" w:rsidRPr="00295888" w:rsidRDefault="00172E92" w:rsidP="00172E92">
      <w:pPr>
        <w:jc w:val="both"/>
      </w:pPr>
      <w:r w:rsidRPr="00295888">
        <w:t xml:space="preserve">Cenu </w:t>
      </w:r>
      <w:r w:rsidR="00BE353F">
        <w:t xml:space="preserve">aptaujas </w:t>
      </w:r>
      <w:r w:rsidRPr="00295888">
        <w:t>mērķis – noskaidrot zemāko cenu piedāvājumu.</w:t>
      </w:r>
    </w:p>
    <w:p w14:paraId="615E946B" w14:textId="77777777" w:rsidR="00172E92" w:rsidRPr="00295888" w:rsidRDefault="00172E92" w:rsidP="00172E92">
      <w:pPr>
        <w:jc w:val="both"/>
      </w:pPr>
      <w:r w:rsidRPr="00295888">
        <w:t>Līgums tiks slēgts ar pretendentu, kura iesniegtais cenu aptaujas piedāvājums ir atbilstošs un ar zemāko piedāvāto cenu.</w:t>
      </w:r>
    </w:p>
    <w:p w14:paraId="0470C4FC" w14:textId="77777777" w:rsidR="00172E92" w:rsidRPr="00295888" w:rsidRDefault="00172E92" w:rsidP="00172E92">
      <w:pPr>
        <w:jc w:val="both"/>
      </w:pPr>
      <w:r w:rsidRPr="00295888">
        <w:t>Informācija par rezultātu tiks izsūtīta elektroniski.</w:t>
      </w:r>
    </w:p>
    <w:p w14:paraId="7541B18A" w14:textId="77777777" w:rsidR="00172E92" w:rsidRPr="00295888" w:rsidRDefault="00172E92" w:rsidP="00172E92">
      <w:pPr>
        <w:rPr>
          <w:b/>
        </w:rPr>
      </w:pPr>
    </w:p>
    <w:p w14:paraId="7444EB99" w14:textId="77777777" w:rsidR="00172E92" w:rsidRPr="00295888" w:rsidRDefault="00172E92" w:rsidP="00172E92">
      <w:pPr>
        <w:rPr>
          <w:b/>
          <w:u w:val="single"/>
        </w:rPr>
      </w:pPr>
      <w:r w:rsidRPr="00295888">
        <w:rPr>
          <w:b/>
          <w:u w:val="single"/>
        </w:rPr>
        <w:t>Informācija par priekšmetu:</w:t>
      </w:r>
    </w:p>
    <w:tbl>
      <w:tblPr>
        <w:tblStyle w:val="Reatabula"/>
        <w:tblW w:w="9067" w:type="dxa"/>
        <w:tblLook w:val="04A0" w:firstRow="1" w:lastRow="0" w:firstColumn="1" w:lastColumn="0" w:noHBand="0" w:noVBand="1"/>
      </w:tblPr>
      <w:tblGrid>
        <w:gridCol w:w="2830"/>
        <w:gridCol w:w="6237"/>
      </w:tblGrid>
      <w:tr w:rsidR="00561C8E" w:rsidRPr="00295888" w14:paraId="0674EDA3" w14:textId="77777777" w:rsidTr="00BE353F">
        <w:tc>
          <w:tcPr>
            <w:tcW w:w="2830" w:type="dxa"/>
          </w:tcPr>
          <w:p w14:paraId="75272883" w14:textId="3559BAD0" w:rsidR="00172E92" w:rsidRPr="00932EB0" w:rsidRDefault="007A5C17" w:rsidP="00172E92">
            <w:r w:rsidRPr="00932EB0">
              <w:t xml:space="preserve">Izpildes vieta: </w:t>
            </w:r>
          </w:p>
        </w:tc>
        <w:tc>
          <w:tcPr>
            <w:tcW w:w="6237" w:type="dxa"/>
          </w:tcPr>
          <w:p w14:paraId="7A4A10D6" w14:textId="015EA878" w:rsidR="0063796A" w:rsidRPr="00932EB0" w:rsidRDefault="007A5C17" w:rsidP="007A5C17">
            <w:pPr>
              <w:spacing w:line="276" w:lineRule="auto"/>
            </w:pPr>
            <w:r w:rsidRPr="00932EB0">
              <w:t xml:space="preserve">Mucenieku </w:t>
            </w:r>
            <w:r w:rsidR="00932EB0" w:rsidRPr="00932EB0">
              <w:t xml:space="preserve">sporta </w:t>
            </w:r>
            <w:r w:rsidRPr="00932EB0">
              <w:t xml:space="preserve">stadions, </w:t>
            </w:r>
            <w:r w:rsidR="00932EB0" w:rsidRPr="00932EB0">
              <w:t>Muceniekos</w:t>
            </w:r>
            <w:r w:rsidRPr="00932EB0">
              <w:t>,  Ropažu pag. Ropažu nov.</w:t>
            </w:r>
            <w:r w:rsidR="007348E5">
              <w:t xml:space="preserve"> </w:t>
            </w:r>
          </w:p>
        </w:tc>
      </w:tr>
      <w:tr w:rsidR="00932EB0" w:rsidRPr="00295888" w14:paraId="5EF0EF89" w14:textId="77777777" w:rsidTr="00BE353F">
        <w:tc>
          <w:tcPr>
            <w:tcW w:w="2830" w:type="dxa"/>
          </w:tcPr>
          <w:p w14:paraId="185C4646" w14:textId="7A48B60B" w:rsidR="00932EB0" w:rsidRPr="00932EB0" w:rsidRDefault="00932EB0" w:rsidP="00172E92">
            <w:r w:rsidRPr="00932EB0">
              <w:t xml:space="preserve">Priekšmets: </w:t>
            </w:r>
          </w:p>
        </w:tc>
        <w:tc>
          <w:tcPr>
            <w:tcW w:w="6237" w:type="dxa"/>
          </w:tcPr>
          <w:p w14:paraId="016C04F1" w14:textId="77777777" w:rsidR="00932EB0" w:rsidRDefault="00932EB0" w:rsidP="007A5C17">
            <w:pPr>
              <w:spacing w:line="276" w:lineRule="auto"/>
            </w:pPr>
            <w:r w:rsidRPr="00932EB0">
              <w:t>Iepirkuma priekšmets ir komandu spēlētāju nojum</w:t>
            </w:r>
            <w:r w:rsidR="00EC7082">
              <w:t xml:space="preserve">es ar </w:t>
            </w:r>
            <w:r w:rsidRPr="00932EB0">
              <w:t>piegād</w:t>
            </w:r>
            <w:r w:rsidR="00EC7082">
              <w:t>i un</w:t>
            </w:r>
            <w:r w:rsidRPr="00932EB0">
              <w:t xml:space="preserve"> uzstādīšan</w:t>
            </w:r>
            <w:r w:rsidR="00EC7082">
              <w:t xml:space="preserve">u, atbilstoši tehniskajai specifikācijai. </w:t>
            </w:r>
          </w:p>
          <w:p w14:paraId="2700A61A" w14:textId="6C83A98D" w:rsidR="00EC7082" w:rsidRPr="00932EB0" w:rsidRDefault="00EC7082" w:rsidP="007A5C17">
            <w:pPr>
              <w:spacing w:line="276" w:lineRule="auto"/>
            </w:pPr>
          </w:p>
        </w:tc>
      </w:tr>
      <w:tr w:rsidR="007A5C17" w:rsidRPr="00295888" w14:paraId="2B88F178" w14:textId="77777777" w:rsidTr="00BE353F">
        <w:tc>
          <w:tcPr>
            <w:tcW w:w="2830" w:type="dxa"/>
          </w:tcPr>
          <w:p w14:paraId="04B66DCF" w14:textId="6226BAC3" w:rsidR="007A5C17" w:rsidRPr="00932EB0" w:rsidRDefault="007A5C17" w:rsidP="00172E92">
            <w:r w:rsidRPr="00932EB0">
              <w:t>Piegāde un uzstādīšana</w:t>
            </w:r>
          </w:p>
        </w:tc>
        <w:tc>
          <w:tcPr>
            <w:tcW w:w="6237" w:type="dxa"/>
          </w:tcPr>
          <w:p w14:paraId="40602D91" w14:textId="110EBC5D" w:rsidR="007A5C17" w:rsidRPr="00932EB0" w:rsidRDefault="007A5C17" w:rsidP="00932EB0">
            <w:pPr>
              <w:pStyle w:val="Sarakstarindkopa"/>
              <w:numPr>
                <w:ilvl w:val="0"/>
                <w:numId w:val="5"/>
              </w:numPr>
              <w:spacing w:line="276" w:lineRule="auto"/>
              <w:rPr>
                <w:rFonts w:ascii="Times New Roman" w:hAnsi="Times New Roman" w:cs="Times New Roman"/>
                <w:sz w:val="24"/>
                <w:szCs w:val="24"/>
              </w:rPr>
            </w:pPr>
            <w:r w:rsidRPr="00932EB0">
              <w:rPr>
                <w:rFonts w:ascii="Times New Roman" w:hAnsi="Times New Roman" w:cs="Times New Roman"/>
                <w:sz w:val="24"/>
                <w:szCs w:val="24"/>
              </w:rPr>
              <w:t xml:space="preserve">Piegādātājs nodrošina transportēšanu līdz pasūtītāja norādītajai </w:t>
            </w:r>
            <w:r w:rsidR="00414D73">
              <w:rPr>
                <w:rFonts w:ascii="Times New Roman" w:hAnsi="Times New Roman" w:cs="Times New Roman"/>
                <w:sz w:val="24"/>
                <w:szCs w:val="24"/>
              </w:rPr>
              <w:t xml:space="preserve">izpildes </w:t>
            </w:r>
            <w:r w:rsidRPr="00932EB0">
              <w:rPr>
                <w:rFonts w:ascii="Times New Roman" w:hAnsi="Times New Roman" w:cs="Times New Roman"/>
                <w:sz w:val="24"/>
                <w:szCs w:val="24"/>
              </w:rPr>
              <w:t>vietai.</w:t>
            </w:r>
          </w:p>
          <w:p w14:paraId="3B57FFE3" w14:textId="77777777" w:rsidR="00932EB0" w:rsidRPr="00932EB0" w:rsidRDefault="007A5C17" w:rsidP="007A5C17">
            <w:pPr>
              <w:pStyle w:val="Sarakstarindkopa"/>
              <w:numPr>
                <w:ilvl w:val="0"/>
                <w:numId w:val="5"/>
              </w:numPr>
              <w:spacing w:line="276" w:lineRule="auto"/>
              <w:rPr>
                <w:rFonts w:ascii="Times New Roman" w:hAnsi="Times New Roman" w:cs="Times New Roman"/>
                <w:sz w:val="24"/>
                <w:szCs w:val="24"/>
              </w:rPr>
            </w:pPr>
            <w:r w:rsidRPr="00932EB0">
              <w:rPr>
                <w:rFonts w:ascii="Times New Roman" w:hAnsi="Times New Roman" w:cs="Times New Roman"/>
                <w:sz w:val="24"/>
                <w:szCs w:val="24"/>
              </w:rPr>
              <w:t>Jāveic pilna uzstādīšana un nostiprināšana.</w:t>
            </w:r>
          </w:p>
          <w:p w14:paraId="659F4E3A" w14:textId="5DA6E989" w:rsidR="007A5C17" w:rsidRPr="00932EB0" w:rsidRDefault="007A5C17" w:rsidP="007A5C17">
            <w:pPr>
              <w:pStyle w:val="Sarakstarindkopa"/>
              <w:numPr>
                <w:ilvl w:val="0"/>
                <w:numId w:val="5"/>
              </w:numPr>
              <w:spacing w:line="276" w:lineRule="auto"/>
              <w:rPr>
                <w:rFonts w:ascii="Times New Roman" w:hAnsi="Times New Roman" w:cs="Times New Roman"/>
                <w:sz w:val="24"/>
                <w:szCs w:val="24"/>
              </w:rPr>
            </w:pPr>
            <w:r w:rsidRPr="00932EB0">
              <w:rPr>
                <w:rFonts w:ascii="Times New Roman" w:hAnsi="Times New Roman" w:cs="Times New Roman"/>
                <w:sz w:val="24"/>
                <w:szCs w:val="24"/>
              </w:rPr>
              <w:t>Pēc uzstādīšanas jānodrošina teritorijas sakopšana.</w:t>
            </w:r>
          </w:p>
        </w:tc>
      </w:tr>
      <w:tr w:rsidR="007A5C17" w:rsidRPr="00295888" w14:paraId="37E50B09" w14:textId="77777777" w:rsidTr="00BE353F">
        <w:tc>
          <w:tcPr>
            <w:tcW w:w="2830" w:type="dxa"/>
          </w:tcPr>
          <w:p w14:paraId="70D00DFF" w14:textId="77777777" w:rsidR="00932EB0" w:rsidRPr="00932EB0" w:rsidRDefault="00932EB0" w:rsidP="00932EB0">
            <w:r w:rsidRPr="00932EB0">
              <w:t>Garantija</w:t>
            </w:r>
          </w:p>
          <w:p w14:paraId="766B80AD" w14:textId="2A28AFF1" w:rsidR="00932EB0" w:rsidRPr="00932EB0" w:rsidRDefault="00932EB0" w:rsidP="00932EB0"/>
          <w:p w14:paraId="447BE4F6" w14:textId="60890D25" w:rsidR="007A5C17" w:rsidRPr="00932EB0" w:rsidRDefault="007A5C17" w:rsidP="00932EB0"/>
        </w:tc>
        <w:tc>
          <w:tcPr>
            <w:tcW w:w="6237" w:type="dxa"/>
          </w:tcPr>
          <w:p w14:paraId="6E1E8B71" w14:textId="77777777" w:rsidR="00932EB0" w:rsidRPr="00932EB0" w:rsidRDefault="00932EB0" w:rsidP="00932EB0">
            <w:pPr>
              <w:pStyle w:val="Sarakstarindkopa"/>
              <w:numPr>
                <w:ilvl w:val="0"/>
                <w:numId w:val="6"/>
              </w:numPr>
              <w:spacing w:line="276" w:lineRule="auto"/>
              <w:rPr>
                <w:rFonts w:ascii="Times New Roman" w:hAnsi="Times New Roman" w:cs="Times New Roman"/>
                <w:sz w:val="24"/>
                <w:szCs w:val="24"/>
              </w:rPr>
            </w:pPr>
            <w:r w:rsidRPr="00932EB0">
              <w:rPr>
                <w:rFonts w:ascii="Times New Roman" w:hAnsi="Times New Roman" w:cs="Times New Roman"/>
                <w:sz w:val="24"/>
                <w:szCs w:val="24"/>
              </w:rPr>
              <w:t>Garantijas termiņš: ne mazāk kā 24 mēneši no nodošanas–pieņemšanas akta parakstīšanas dienas.</w:t>
            </w:r>
          </w:p>
          <w:p w14:paraId="600B9878" w14:textId="3C99AA14" w:rsidR="007A5C17" w:rsidRPr="00932EB0" w:rsidRDefault="00932EB0" w:rsidP="00932EB0">
            <w:pPr>
              <w:pStyle w:val="Sarakstarindkopa"/>
              <w:numPr>
                <w:ilvl w:val="0"/>
                <w:numId w:val="6"/>
              </w:numPr>
              <w:spacing w:line="276" w:lineRule="auto"/>
              <w:rPr>
                <w:rFonts w:ascii="Times New Roman" w:hAnsi="Times New Roman" w:cs="Times New Roman"/>
                <w:sz w:val="24"/>
                <w:szCs w:val="24"/>
              </w:rPr>
            </w:pPr>
            <w:r w:rsidRPr="00932EB0">
              <w:rPr>
                <w:rFonts w:ascii="Times New Roman" w:hAnsi="Times New Roman" w:cs="Times New Roman"/>
                <w:sz w:val="24"/>
                <w:szCs w:val="24"/>
              </w:rPr>
              <w:t xml:space="preserve">Garantijas laikā piegādātājs bez maksas novērš visus defektus, kas radušies ražošanas vai uzstādīšanas dēļ. </w:t>
            </w:r>
          </w:p>
        </w:tc>
      </w:tr>
      <w:tr w:rsidR="00932EB0" w:rsidRPr="00295888" w14:paraId="73010615" w14:textId="77777777" w:rsidTr="00BE353F">
        <w:tc>
          <w:tcPr>
            <w:tcW w:w="2830" w:type="dxa"/>
          </w:tcPr>
          <w:p w14:paraId="3714AE92" w14:textId="0BE195FA" w:rsidR="00932EB0" w:rsidRPr="00932EB0" w:rsidRDefault="00932EB0" w:rsidP="00932EB0">
            <w:r w:rsidRPr="00932EB0">
              <w:t>Līguma izpildes laiks:</w:t>
            </w:r>
          </w:p>
        </w:tc>
        <w:tc>
          <w:tcPr>
            <w:tcW w:w="6237" w:type="dxa"/>
          </w:tcPr>
          <w:p w14:paraId="2F79E989" w14:textId="4CEBF3F5" w:rsidR="00932EB0" w:rsidRPr="00932EB0" w:rsidRDefault="00932EB0" w:rsidP="00932EB0">
            <w:pPr>
              <w:spacing w:line="276" w:lineRule="auto"/>
            </w:pPr>
            <w:r w:rsidRPr="00932EB0">
              <w:t xml:space="preserve">Pretendentam jānodrošina Preces piegāde </w:t>
            </w:r>
            <w:r w:rsidR="007348E5">
              <w:t xml:space="preserve">un uzstādīšana </w:t>
            </w:r>
            <w:r w:rsidRPr="00932EB0">
              <w:t>2 (divu) mēnešu laikā no iepirkuma līguma abpusējas parakstīšanas dienas.</w:t>
            </w:r>
          </w:p>
        </w:tc>
      </w:tr>
      <w:tr w:rsidR="00932EB0" w:rsidRPr="00295888" w14:paraId="489713E1" w14:textId="77777777" w:rsidTr="00BE353F">
        <w:tc>
          <w:tcPr>
            <w:tcW w:w="2830" w:type="dxa"/>
          </w:tcPr>
          <w:p w14:paraId="6138B108" w14:textId="77777777" w:rsidR="00932EB0" w:rsidRPr="00295888" w:rsidRDefault="00932EB0" w:rsidP="00932EB0">
            <w:r w:rsidRPr="00295888">
              <w:t>Izmaksas, kas jāiekļauj cenā:</w:t>
            </w:r>
          </w:p>
        </w:tc>
        <w:tc>
          <w:tcPr>
            <w:tcW w:w="6237" w:type="dxa"/>
          </w:tcPr>
          <w:p w14:paraId="204BF780" w14:textId="7440F505" w:rsidR="00932EB0" w:rsidRPr="003D7404" w:rsidRDefault="00932EB0" w:rsidP="00932EB0">
            <w:pPr>
              <w:spacing w:line="276" w:lineRule="auto"/>
              <w:rPr>
                <w:iCs/>
              </w:rPr>
            </w:pPr>
            <w:r w:rsidRPr="003D7404">
              <w:rPr>
                <w:iCs/>
              </w:rPr>
              <w:t xml:space="preserve">Finanšu piedāvājumā norādītajās cenās iekļauti visi piemērojamie nodokļi un valsts noteiktie obligātie maksājumi, </w:t>
            </w:r>
          </w:p>
          <w:p w14:paraId="1D62B076" w14:textId="2F488610" w:rsidR="00932EB0" w:rsidRPr="003D7404" w:rsidRDefault="00932EB0" w:rsidP="00932EB0">
            <w:pPr>
              <w:spacing w:line="276" w:lineRule="auto"/>
              <w:rPr>
                <w:iCs/>
              </w:rPr>
            </w:pPr>
            <w:r w:rsidRPr="003D7404">
              <w:rPr>
                <w:iCs/>
              </w:rPr>
              <w:lastRenderedPageBreak/>
              <w:t xml:space="preserve">izņemot PVN, kā arī visi tieši un netieši ar </w:t>
            </w:r>
            <w:r>
              <w:rPr>
                <w:iCs/>
              </w:rPr>
              <w:t>līguma izpildi</w:t>
            </w:r>
            <w:r w:rsidRPr="003D7404">
              <w:rPr>
                <w:iCs/>
              </w:rPr>
              <w:t xml:space="preserve"> saistītie izdevumi, kas nepieciešami līguma izpildei </w:t>
            </w:r>
          </w:p>
          <w:p w14:paraId="6E1852DD" w14:textId="0C2AECF1" w:rsidR="00932EB0" w:rsidRPr="00561C8E" w:rsidRDefault="00932EB0" w:rsidP="00932EB0">
            <w:pPr>
              <w:spacing w:line="276" w:lineRule="auto"/>
              <w:rPr>
                <w:iCs/>
              </w:rPr>
            </w:pPr>
            <w:r w:rsidRPr="003D7404">
              <w:rPr>
                <w:iCs/>
              </w:rPr>
              <w:t xml:space="preserve">pilnā apmērā un labā kvalitātē. </w:t>
            </w:r>
          </w:p>
          <w:p w14:paraId="56EC76D1" w14:textId="0057BCC5" w:rsidR="00932EB0" w:rsidRPr="00561C8E" w:rsidRDefault="00932EB0" w:rsidP="00932EB0">
            <w:pPr>
              <w:spacing w:line="276" w:lineRule="auto"/>
              <w:rPr>
                <w:iCs/>
              </w:rPr>
            </w:pPr>
          </w:p>
        </w:tc>
      </w:tr>
    </w:tbl>
    <w:p w14:paraId="42EE5770" w14:textId="4C9D368F" w:rsidR="00ED2987" w:rsidRPr="00ED2987" w:rsidRDefault="00BE19F5" w:rsidP="00BE19F5">
      <w:pPr>
        <w:spacing w:before="100" w:beforeAutospacing="1" w:after="100" w:afterAutospacing="1"/>
        <w:rPr>
          <w:b/>
          <w:bCs/>
          <w:color w:val="000000"/>
        </w:rPr>
      </w:pPr>
      <w:r w:rsidRPr="00BE19F5">
        <w:rPr>
          <w:b/>
          <w:bCs/>
          <w:color w:val="000000"/>
        </w:rPr>
        <w:lastRenderedPageBreak/>
        <w:t>Prasības pretendentiem:</w:t>
      </w:r>
    </w:p>
    <w:p w14:paraId="25309DDA" w14:textId="309AAECD" w:rsidR="00025F3E" w:rsidRPr="00025F3E" w:rsidRDefault="00025F3E" w:rsidP="00ED2987">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025F3E">
        <w:rPr>
          <w:rFonts w:ascii="Times New Roman" w:hAnsi="Times New Roman" w:cs="Times New Roman"/>
          <w:color w:val="000000"/>
          <w:sz w:val="24"/>
          <w:szCs w:val="24"/>
          <w:lang w:eastAsia="lv-LV"/>
          <w14:ligatures w14:val="none"/>
        </w:rPr>
        <w:t>Pretendents ir reģistrēts Latvijas Republikas Uzņēmumu reģistra Komercreģistrā vai līdzvērtīgā reģistrā ārvalstīs, atbilstoši attiecīgās valsts normatīvo aktu prasībām. Saimnieciskās darbības veicējs ir reģistrēts Valsts ieņēmumu dienestā</w:t>
      </w:r>
      <w:r>
        <w:rPr>
          <w:rFonts w:ascii="Times New Roman" w:hAnsi="Times New Roman" w:cs="Times New Roman"/>
          <w:color w:val="000000"/>
          <w:sz w:val="24"/>
          <w:szCs w:val="24"/>
          <w:lang w:eastAsia="lv-LV"/>
          <w14:ligatures w14:val="none"/>
        </w:rPr>
        <w:t xml:space="preserve"> (turpmāk -VID)</w:t>
      </w:r>
      <w:r w:rsidRPr="00025F3E">
        <w:rPr>
          <w:rFonts w:ascii="Times New Roman" w:hAnsi="Times New Roman" w:cs="Times New Roman"/>
          <w:color w:val="000000"/>
          <w:sz w:val="24"/>
          <w:szCs w:val="24"/>
          <w:lang w:eastAsia="lv-LV"/>
          <w14:ligatures w14:val="none"/>
        </w:rPr>
        <w:t xml:space="preserve"> vai attiecīgā reģistrā ārvalstīs atbilstoši attiecīgās valsts normatīvajiem aktiem</w:t>
      </w:r>
      <w:r>
        <w:rPr>
          <w:rFonts w:ascii="Times New Roman" w:hAnsi="Times New Roman" w:cs="Times New Roman"/>
          <w:color w:val="000000"/>
          <w:sz w:val="24"/>
          <w:szCs w:val="24"/>
          <w:lang w:eastAsia="lv-LV"/>
          <w14:ligatures w14:val="none"/>
        </w:rPr>
        <w:t>;</w:t>
      </w:r>
    </w:p>
    <w:p w14:paraId="2B2EDA2B" w14:textId="77777777"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Piedāvājuma iesniegšanas pēdējā dienā pretendentam nav VID nodokļu parādu;</w:t>
      </w:r>
    </w:p>
    <w:p w14:paraId="5B6E08EE" w14:textId="303020FA" w:rsidR="00ED2987" w:rsidRPr="00ED2987" w:rsidRDefault="00ED2987" w:rsidP="00ED2987">
      <w:pPr>
        <w:spacing w:before="100" w:beforeAutospacing="1" w:after="100" w:afterAutospacing="1"/>
        <w:rPr>
          <w:b/>
          <w:bCs/>
          <w:color w:val="000000"/>
        </w:rPr>
      </w:pPr>
      <w:r w:rsidRPr="00ED2987">
        <w:rPr>
          <w:b/>
          <w:bCs/>
          <w:color w:val="000000"/>
        </w:rPr>
        <w:t>Pretendenta iesniedzamie dokumenti:</w:t>
      </w:r>
    </w:p>
    <w:p w14:paraId="2C5BC4FE" w14:textId="77777777"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357F35B5" w14:textId="0D28D32A"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Tehniskā specifikācija/Tehniskais piedāvājums (2.pielikums).</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459BA71A" w14:textId="77777777" w:rsidR="00172E92" w:rsidRDefault="00172E92" w:rsidP="00172E92">
      <w:pPr>
        <w:contextualSpacing/>
        <w:rPr>
          <w:rFonts w:eastAsia="Calibri"/>
          <w:b/>
          <w:color w:val="000000"/>
        </w:rPr>
      </w:pPr>
    </w:p>
    <w:p w14:paraId="1CD601D3" w14:textId="77777777" w:rsidR="00302211" w:rsidRDefault="00302211" w:rsidP="00172E92">
      <w:pPr>
        <w:contextualSpacing/>
        <w:rPr>
          <w:rFonts w:eastAsia="Calibri"/>
          <w:b/>
          <w:color w:val="000000"/>
        </w:rPr>
      </w:pPr>
    </w:p>
    <w:p w14:paraId="70C7CEE6" w14:textId="77777777" w:rsidR="00302211" w:rsidRDefault="00302211" w:rsidP="00172E92">
      <w:pPr>
        <w:contextualSpacing/>
        <w:rPr>
          <w:rFonts w:eastAsia="Calibri"/>
          <w:b/>
          <w:color w:val="000000"/>
        </w:rPr>
      </w:pPr>
    </w:p>
    <w:p w14:paraId="46683B7C" w14:textId="77777777" w:rsidR="00302211" w:rsidRDefault="00302211" w:rsidP="00172E92">
      <w:pPr>
        <w:contextualSpacing/>
        <w:rPr>
          <w:rFonts w:eastAsia="Calibri"/>
          <w:b/>
          <w:color w:val="000000"/>
        </w:rPr>
      </w:pPr>
    </w:p>
    <w:p w14:paraId="62166AD5" w14:textId="77777777" w:rsidR="00302211" w:rsidRDefault="00302211" w:rsidP="00172E92">
      <w:pPr>
        <w:contextualSpacing/>
        <w:rPr>
          <w:rFonts w:eastAsia="Calibri"/>
          <w:b/>
          <w:color w:val="000000"/>
        </w:rPr>
      </w:pPr>
    </w:p>
    <w:p w14:paraId="462718DE" w14:textId="77777777" w:rsidR="00302211" w:rsidRDefault="00302211" w:rsidP="00172E92">
      <w:pPr>
        <w:contextualSpacing/>
        <w:rPr>
          <w:rFonts w:eastAsia="Calibri"/>
          <w:b/>
          <w:color w:val="000000"/>
        </w:rPr>
      </w:pPr>
    </w:p>
    <w:p w14:paraId="2E031C78" w14:textId="77777777" w:rsidR="00302211" w:rsidRDefault="00302211" w:rsidP="00172E92">
      <w:pPr>
        <w:contextualSpacing/>
        <w:rPr>
          <w:rFonts w:eastAsia="Calibri"/>
          <w:b/>
          <w:color w:val="000000"/>
        </w:rPr>
      </w:pPr>
    </w:p>
    <w:p w14:paraId="582E7AF4" w14:textId="77777777" w:rsidR="00302211" w:rsidRDefault="00302211" w:rsidP="00172E92">
      <w:pPr>
        <w:contextualSpacing/>
        <w:rPr>
          <w:rFonts w:eastAsia="Calibri"/>
          <w:b/>
          <w:color w:val="000000"/>
        </w:rPr>
      </w:pPr>
    </w:p>
    <w:p w14:paraId="65DCDB27" w14:textId="77777777" w:rsidR="00302211" w:rsidRDefault="00302211" w:rsidP="00172E92">
      <w:pPr>
        <w:contextualSpacing/>
        <w:rPr>
          <w:rFonts w:eastAsia="Calibri"/>
          <w:b/>
          <w:color w:val="000000"/>
        </w:rPr>
      </w:pPr>
    </w:p>
    <w:p w14:paraId="2862ACF9" w14:textId="77777777" w:rsidR="00302211" w:rsidRDefault="00302211" w:rsidP="00172E92">
      <w:pPr>
        <w:contextualSpacing/>
        <w:rPr>
          <w:rFonts w:eastAsia="Calibri"/>
          <w:b/>
          <w:color w:val="000000"/>
        </w:rPr>
      </w:pPr>
    </w:p>
    <w:p w14:paraId="4DB2896F" w14:textId="77777777" w:rsidR="00302211" w:rsidRDefault="00302211" w:rsidP="00172E92">
      <w:pPr>
        <w:contextualSpacing/>
        <w:rPr>
          <w:rFonts w:eastAsia="Calibri"/>
          <w:b/>
          <w:color w:val="000000"/>
        </w:rPr>
      </w:pPr>
    </w:p>
    <w:p w14:paraId="5AAC4F23" w14:textId="77777777" w:rsidR="00302211" w:rsidRDefault="00302211" w:rsidP="00172E92">
      <w:pPr>
        <w:contextualSpacing/>
        <w:rPr>
          <w:rFonts w:eastAsia="Calibri"/>
          <w:b/>
          <w:color w:val="000000"/>
        </w:rPr>
      </w:pPr>
    </w:p>
    <w:p w14:paraId="7C5CF02A" w14:textId="77777777" w:rsidR="00302211" w:rsidRDefault="00302211" w:rsidP="00172E92">
      <w:pPr>
        <w:contextualSpacing/>
        <w:rPr>
          <w:rFonts w:eastAsia="Calibri"/>
          <w:b/>
          <w:color w:val="000000"/>
        </w:rPr>
      </w:pPr>
    </w:p>
    <w:p w14:paraId="1E9F444F" w14:textId="77777777" w:rsidR="00302211" w:rsidRDefault="00302211" w:rsidP="00172E92">
      <w:pPr>
        <w:contextualSpacing/>
        <w:rPr>
          <w:rFonts w:eastAsia="Calibri"/>
          <w:b/>
          <w:color w:val="000000"/>
        </w:rPr>
      </w:pPr>
    </w:p>
    <w:p w14:paraId="75C81E5A" w14:textId="77777777" w:rsidR="00302211" w:rsidRDefault="00302211" w:rsidP="00172E92">
      <w:pPr>
        <w:contextualSpacing/>
        <w:rPr>
          <w:rFonts w:eastAsia="Calibri"/>
          <w:b/>
          <w:color w:val="000000"/>
        </w:rPr>
      </w:pPr>
    </w:p>
    <w:p w14:paraId="78A1EF95" w14:textId="77777777" w:rsidR="00302211" w:rsidRDefault="00302211" w:rsidP="00172E92">
      <w:pPr>
        <w:contextualSpacing/>
        <w:rPr>
          <w:rFonts w:eastAsia="Calibri"/>
          <w:b/>
          <w:color w:val="000000"/>
        </w:rPr>
      </w:pPr>
    </w:p>
    <w:p w14:paraId="4A0A64B1" w14:textId="77777777" w:rsidR="00302211" w:rsidRDefault="00302211" w:rsidP="00172E92">
      <w:pPr>
        <w:contextualSpacing/>
        <w:rPr>
          <w:rFonts w:eastAsia="Calibri"/>
          <w:b/>
          <w:color w:val="000000"/>
        </w:rPr>
      </w:pPr>
    </w:p>
    <w:p w14:paraId="3D657AAD" w14:textId="77777777" w:rsidR="00302211" w:rsidRDefault="00302211" w:rsidP="00172E92">
      <w:pPr>
        <w:contextualSpacing/>
        <w:rPr>
          <w:rFonts w:eastAsia="Calibri"/>
          <w:b/>
          <w:color w:val="000000"/>
        </w:rPr>
      </w:pPr>
    </w:p>
    <w:p w14:paraId="615F9296" w14:textId="77777777" w:rsidR="00302211" w:rsidRDefault="00302211" w:rsidP="00172E92">
      <w:pPr>
        <w:contextualSpacing/>
        <w:rPr>
          <w:rFonts w:eastAsia="Calibri"/>
          <w:b/>
          <w:color w:val="000000"/>
        </w:rPr>
      </w:pPr>
    </w:p>
    <w:p w14:paraId="2B36FB22" w14:textId="77777777" w:rsidR="00302211" w:rsidRDefault="00302211" w:rsidP="00172E92">
      <w:pPr>
        <w:contextualSpacing/>
        <w:rPr>
          <w:rFonts w:eastAsia="Calibri"/>
          <w:b/>
          <w:color w:val="000000"/>
        </w:rPr>
      </w:pPr>
    </w:p>
    <w:p w14:paraId="60EE9549" w14:textId="77777777" w:rsidR="00302211" w:rsidRDefault="00302211" w:rsidP="00172E92">
      <w:pPr>
        <w:contextualSpacing/>
        <w:rPr>
          <w:rFonts w:eastAsia="Calibri"/>
          <w:b/>
          <w:color w:val="000000"/>
        </w:rPr>
      </w:pPr>
    </w:p>
    <w:p w14:paraId="6A16C027" w14:textId="77777777" w:rsidR="00302211" w:rsidRDefault="00302211" w:rsidP="00172E92">
      <w:pPr>
        <w:contextualSpacing/>
        <w:rPr>
          <w:rFonts w:eastAsia="Calibri"/>
          <w:b/>
          <w:color w:val="000000"/>
        </w:rPr>
      </w:pPr>
    </w:p>
    <w:p w14:paraId="13D70F3D" w14:textId="77777777" w:rsidR="00302211" w:rsidRDefault="00302211" w:rsidP="00172E92">
      <w:pPr>
        <w:contextualSpacing/>
        <w:rPr>
          <w:rFonts w:eastAsia="Calibri"/>
          <w:b/>
          <w:color w:val="000000"/>
        </w:rPr>
      </w:pPr>
    </w:p>
    <w:p w14:paraId="3DD77F43" w14:textId="77777777" w:rsidR="00302211" w:rsidRDefault="00302211" w:rsidP="00172E92">
      <w:pPr>
        <w:contextualSpacing/>
        <w:rPr>
          <w:rFonts w:eastAsia="Calibri"/>
          <w:b/>
          <w:color w:val="000000"/>
        </w:rPr>
      </w:pPr>
    </w:p>
    <w:p w14:paraId="40887D81" w14:textId="77777777" w:rsidR="00302211" w:rsidRDefault="00302211" w:rsidP="00172E92">
      <w:pPr>
        <w:contextualSpacing/>
        <w:rPr>
          <w:rFonts w:eastAsia="Calibri"/>
          <w:b/>
          <w:color w:val="000000"/>
        </w:rPr>
      </w:pPr>
    </w:p>
    <w:p w14:paraId="6DC6B594" w14:textId="77777777" w:rsidR="00302211" w:rsidRDefault="00302211" w:rsidP="00172E92">
      <w:pPr>
        <w:contextualSpacing/>
        <w:rPr>
          <w:rFonts w:eastAsia="Calibri"/>
          <w:b/>
          <w:color w:val="000000"/>
        </w:rPr>
      </w:pPr>
    </w:p>
    <w:p w14:paraId="1E9A39DC" w14:textId="77777777" w:rsidR="00302211" w:rsidRDefault="00302211" w:rsidP="00172E92">
      <w:pPr>
        <w:contextualSpacing/>
        <w:rPr>
          <w:rFonts w:eastAsia="Calibri"/>
          <w:b/>
          <w:color w:val="000000"/>
        </w:rPr>
      </w:pPr>
    </w:p>
    <w:p w14:paraId="310983A3" w14:textId="77777777" w:rsidR="00302211" w:rsidRDefault="00302211" w:rsidP="00172E92">
      <w:pPr>
        <w:contextualSpacing/>
        <w:rPr>
          <w:rFonts w:eastAsia="Calibri"/>
          <w:b/>
          <w:color w:val="000000"/>
        </w:rPr>
      </w:pPr>
    </w:p>
    <w:p w14:paraId="3EE043F9" w14:textId="77777777" w:rsidR="00302211" w:rsidRDefault="00302211" w:rsidP="00172E92">
      <w:pPr>
        <w:contextualSpacing/>
        <w:rPr>
          <w:rFonts w:eastAsia="Calibri"/>
          <w:b/>
          <w:color w:val="000000"/>
        </w:rPr>
      </w:pPr>
    </w:p>
    <w:p w14:paraId="58617194" w14:textId="77777777" w:rsidR="00302211" w:rsidRDefault="00302211" w:rsidP="00172E92">
      <w:pPr>
        <w:contextualSpacing/>
        <w:rPr>
          <w:rFonts w:eastAsia="Calibri"/>
          <w:b/>
          <w:color w:val="000000"/>
        </w:rPr>
      </w:pPr>
    </w:p>
    <w:p w14:paraId="4DBF5104" w14:textId="77777777" w:rsidR="00302211" w:rsidRDefault="00302211" w:rsidP="00172E92">
      <w:pPr>
        <w:contextualSpacing/>
        <w:rPr>
          <w:rFonts w:eastAsia="Calibri"/>
          <w:b/>
          <w:color w:val="000000"/>
        </w:rPr>
      </w:pPr>
    </w:p>
    <w:p w14:paraId="26303902" w14:textId="77777777" w:rsidR="00302211" w:rsidRDefault="00302211" w:rsidP="00172E92">
      <w:pPr>
        <w:contextualSpacing/>
        <w:rPr>
          <w:rFonts w:eastAsia="Calibri"/>
          <w:b/>
          <w:color w:val="000000"/>
        </w:rPr>
      </w:pPr>
    </w:p>
    <w:p w14:paraId="7BDBC53F" w14:textId="46FA9D95" w:rsidR="00302211" w:rsidRPr="00302211" w:rsidRDefault="00302211" w:rsidP="00302211">
      <w:pPr>
        <w:contextualSpacing/>
        <w:jc w:val="right"/>
        <w:rPr>
          <w:rFonts w:eastAsia="Calibri"/>
          <w:bCs/>
          <w:color w:val="000000"/>
        </w:rPr>
      </w:pPr>
      <w:r w:rsidRPr="00302211">
        <w:rPr>
          <w:rFonts w:eastAsia="Calibri"/>
          <w:bCs/>
          <w:color w:val="000000"/>
        </w:rPr>
        <w:t xml:space="preserve">1.Pielikums </w:t>
      </w:r>
    </w:p>
    <w:p w14:paraId="40CB4BD0" w14:textId="77777777" w:rsidR="00302211" w:rsidRDefault="00302211" w:rsidP="00172E92">
      <w:pPr>
        <w:contextualSpacing/>
        <w:rPr>
          <w:rFonts w:eastAsia="Calibri"/>
          <w:b/>
          <w:color w:val="000000"/>
        </w:rPr>
      </w:pPr>
    </w:p>
    <w:p w14:paraId="26C7F775" w14:textId="77777777" w:rsidR="00025F3E" w:rsidRPr="00295888" w:rsidRDefault="00025F3E" w:rsidP="00172E92">
      <w:pPr>
        <w:contextualSpacing/>
        <w:rPr>
          <w:rFonts w:eastAsia="Calibri"/>
          <w:b/>
          <w:color w:val="000000"/>
        </w:rPr>
      </w:pPr>
    </w:p>
    <w:p w14:paraId="7F667765" w14:textId="7EAFF7D7" w:rsidR="00172E92" w:rsidRDefault="00BE19F5" w:rsidP="00172E92">
      <w:pPr>
        <w:jc w:val="center"/>
        <w:rPr>
          <w:b/>
        </w:rPr>
      </w:pPr>
      <w:r w:rsidRPr="00BE19F5">
        <w:rPr>
          <w:b/>
        </w:rPr>
        <w:t xml:space="preserve">PRETENDENTA </w:t>
      </w:r>
      <w:r>
        <w:rPr>
          <w:b/>
        </w:rPr>
        <w:t xml:space="preserve"> </w:t>
      </w:r>
      <w:r w:rsidR="00172E92" w:rsidRPr="00295888">
        <w:rPr>
          <w:b/>
        </w:rPr>
        <w:t>PIETEIKUMS DALĪBAI CENU APTAUJĀ</w:t>
      </w:r>
    </w:p>
    <w:p w14:paraId="18FF4D90" w14:textId="77777777" w:rsidR="00172E92" w:rsidRPr="00295888" w:rsidRDefault="00172E92" w:rsidP="00172E92">
      <w:pPr>
        <w:jc w:val="center"/>
        <w:rPr>
          <w:b/>
        </w:rPr>
      </w:pPr>
    </w:p>
    <w:p w14:paraId="154F4822" w14:textId="638A41B9" w:rsidR="00172E92" w:rsidRPr="00295888" w:rsidRDefault="00172E92" w:rsidP="00561C8E">
      <w:r w:rsidRPr="006E0A33">
        <w:t>CENU APTAUJAS NOSAUKUMS:</w:t>
      </w:r>
      <w:r>
        <w:t xml:space="preserve"> </w:t>
      </w:r>
      <w:r w:rsidR="00561C8E" w:rsidRPr="00561C8E">
        <w:t>“</w:t>
      </w:r>
      <w:r w:rsidR="00932EB0" w:rsidRPr="00932EB0">
        <w:t>Komandu spēlētāju nojumes ar piegādi un uzstādīšanu</w:t>
      </w:r>
      <w:r w:rsidR="00025F3E" w:rsidRPr="00025F3E">
        <w:t>”</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r w:rsidRPr="00BE19F5">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r w:rsidRPr="00BE19F5">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rPr>
            </w:pPr>
          </w:p>
        </w:tc>
      </w:tr>
      <w:tr w:rsidR="00172E92" w:rsidRPr="00BE19F5"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r w:rsidRPr="00BE19F5">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r w:rsidRPr="00BE19F5">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r w:rsidRPr="00BE19F5">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r w:rsidRPr="00BE19F5">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rPr>
            </w:pPr>
          </w:p>
        </w:tc>
      </w:tr>
    </w:tbl>
    <w:p w14:paraId="54EF0FEB" w14:textId="77777777" w:rsidR="006E61FE" w:rsidRPr="00BE19F5" w:rsidRDefault="006E61FE" w:rsidP="006633DF">
      <w:pPr>
        <w:rPr>
          <w:b/>
        </w:rPr>
      </w:pPr>
    </w:p>
    <w:p w14:paraId="1ECB1307" w14:textId="77777777" w:rsidR="00BE19F5" w:rsidRPr="00BE19F5" w:rsidRDefault="00BE19F5" w:rsidP="00172E92">
      <w:pPr>
        <w:jc w:val="center"/>
        <w:rPr>
          <w:b/>
        </w:rPr>
      </w:pPr>
    </w:p>
    <w:p w14:paraId="2EB97E6F" w14:textId="77777777" w:rsidR="00172E92" w:rsidRDefault="00172E92" w:rsidP="00172E92">
      <w:pPr>
        <w:jc w:val="center"/>
        <w:rPr>
          <w:b/>
        </w:rPr>
      </w:pPr>
      <w:r w:rsidRPr="00BE19F5">
        <w:rPr>
          <w:b/>
        </w:rPr>
        <w:t>FINANŠU PIEDĀVĀJUMS</w:t>
      </w:r>
    </w:p>
    <w:p w14:paraId="30CEA979" w14:textId="15D96438" w:rsidR="006633DF" w:rsidRPr="006633DF" w:rsidRDefault="00025F3E" w:rsidP="006633DF">
      <w:pPr>
        <w:jc w:val="center"/>
        <w:rPr>
          <w:bCs/>
          <w:i/>
          <w:iCs/>
        </w:rPr>
      </w:pPr>
      <w:r w:rsidRPr="00025F3E">
        <w:rPr>
          <w:bCs/>
          <w:i/>
          <w:iCs/>
        </w:rPr>
        <w:t>“</w:t>
      </w:r>
      <w:r w:rsidR="00932EB0" w:rsidRPr="00932EB0">
        <w:rPr>
          <w:bCs/>
          <w:i/>
          <w:iCs/>
        </w:rPr>
        <w:t>Komandu spēlētāju nojumes ar piegādi un uzstādīšanu</w:t>
      </w:r>
      <w:r w:rsidR="006633DF" w:rsidRPr="006633DF">
        <w:rPr>
          <w:bCs/>
          <w:i/>
          <w:iCs/>
        </w:rPr>
        <w:t>”</w:t>
      </w:r>
    </w:p>
    <w:p w14:paraId="75F2986C" w14:textId="77777777" w:rsidR="00172E92" w:rsidRPr="006C646C" w:rsidRDefault="00172E92" w:rsidP="006C646C"/>
    <w:tbl>
      <w:tblPr>
        <w:tblStyle w:val="Reatabula"/>
        <w:tblW w:w="9061" w:type="dxa"/>
        <w:tblLook w:val="04A0" w:firstRow="1" w:lastRow="0" w:firstColumn="1" w:lastColumn="0" w:noHBand="0" w:noVBand="1"/>
      </w:tblPr>
      <w:tblGrid>
        <w:gridCol w:w="4696"/>
        <w:gridCol w:w="1310"/>
        <w:gridCol w:w="1550"/>
        <w:gridCol w:w="1505"/>
      </w:tblGrid>
      <w:tr w:rsidR="00302211" w:rsidRPr="00BE19F5" w14:paraId="426240A4" w14:textId="0CF0D3CF" w:rsidTr="007348E5">
        <w:trPr>
          <w:trHeight w:val="564"/>
        </w:trPr>
        <w:tc>
          <w:tcPr>
            <w:tcW w:w="4815" w:type="dxa"/>
            <w:tcBorders>
              <w:bottom w:val="single" w:sz="4" w:space="0" w:color="auto"/>
            </w:tcBorders>
            <w:shd w:val="clear" w:color="auto" w:fill="BFBFBF" w:themeFill="background1" w:themeFillShade="BF"/>
            <w:vAlign w:val="center"/>
          </w:tcPr>
          <w:p w14:paraId="76CE602A" w14:textId="3ABE5A85" w:rsidR="00302211" w:rsidRPr="00BE19F5" w:rsidRDefault="00302211" w:rsidP="00302211">
            <w:pPr>
              <w:jc w:val="center"/>
              <w:rPr>
                <w:b/>
              </w:rPr>
            </w:pPr>
            <w:bookmarkStart w:id="1" w:name="_Hlk137205141"/>
            <w:r>
              <w:rPr>
                <w:b/>
              </w:rPr>
              <w:t>Nosaukums</w:t>
            </w:r>
          </w:p>
        </w:tc>
        <w:tc>
          <w:tcPr>
            <w:tcW w:w="1144" w:type="dxa"/>
            <w:shd w:val="clear" w:color="auto" w:fill="BFBFBF" w:themeFill="background1" w:themeFillShade="BF"/>
            <w:vAlign w:val="center"/>
          </w:tcPr>
          <w:p w14:paraId="6BD2D6E0" w14:textId="38FD20D9" w:rsidR="00302211" w:rsidRPr="00302211" w:rsidRDefault="00302211" w:rsidP="00302211">
            <w:pPr>
              <w:jc w:val="center"/>
              <w:rPr>
                <w:b/>
              </w:rPr>
            </w:pPr>
            <w:r>
              <w:rPr>
                <w:b/>
              </w:rPr>
              <w:t>Daudzums</w:t>
            </w:r>
          </w:p>
        </w:tc>
        <w:tc>
          <w:tcPr>
            <w:tcW w:w="1571" w:type="dxa"/>
            <w:shd w:val="clear" w:color="auto" w:fill="BFBFBF" w:themeFill="background1" w:themeFillShade="BF"/>
            <w:vAlign w:val="center"/>
          </w:tcPr>
          <w:p w14:paraId="783DB050" w14:textId="2E227DE0" w:rsidR="00302211" w:rsidRPr="00932EB0" w:rsidRDefault="00302211" w:rsidP="00302211">
            <w:pPr>
              <w:jc w:val="center"/>
              <w:rPr>
                <w:b/>
              </w:rPr>
            </w:pPr>
            <w:r w:rsidRPr="00302211">
              <w:rPr>
                <w:b/>
              </w:rPr>
              <w:t>Cena par vienību EUR (bez PVN)</w:t>
            </w:r>
            <w:r w:rsidR="007348E5">
              <w:rPr>
                <w:b/>
              </w:rPr>
              <w:br/>
            </w:r>
          </w:p>
        </w:tc>
        <w:tc>
          <w:tcPr>
            <w:tcW w:w="1531" w:type="dxa"/>
            <w:shd w:val="clear" w:color="auto" w:fill="BFBFBF" w:themeFill="background1" w:themeFillShade="BF"/>
            <w:vAlign w:val="center"/>
          </w:tcPr>
          <w:p w14:paraId="06FA10C6" w14:textId="26AA09ED" w:rsidR="00302211" w:rsidRPr="00BE19F5" w:rsidRDefault="00302211" w:rsidP="00302211">
            <w:pPr>
              <w:jc w:val="center"/>
              <w:rPr>
                <w:b/>
              </w:rPr>
            </w:pPr>
            <w:r w:rsidRPr="00302211">
              <w:rPr>
                <w:b/>
              </w:rPr>
              <w:t>Cena kopā EUR (bez PVN)</w:t>
            </w:r>
          </w:p>
        </w:tc>
      </w:tr>
      <w:bookmarkEnd w:id="1"/>
      <w:tr w:rsidR="00302211" w:rsidRPr="00BE19F5" w14:paraId="19A81483" w14:textId="5C659CCA" w:rsidTr="007348E5">
        <w:trPr>
          <w:trHeight w:val="564"/>
        </w:trPr>
        <w:tc>
          <w:tcPr>
            <w:tcW w:w="4815" w:type="dxa"/>
          </w:tcPr>
          <w:p w14:paraId="4E569CB5" w14:textId="1AEAB5B6" w:rsidR="00302211" w:rsidRPr="006633DF" w:rsidRDefault="00302211" w:rsidP="002C1C1F">
            <w:r w:rsidRPr="00302211">
              <w:t>Komandu spēlētāju nojumes ar piegādi un uzstādīšanu</w:t>
            </w:r>
          </w:p>
        </w:tc>
        <w:tc>
          <w:tcPr>
            <w:tcW w:w="1144" w:type="dxa"/>
            <w:vAlign w:val="center"/>
          </w:tcPr>
          <w:p w14:paraId="5F552FED" w14:textId="1D78B4D7" w:rsidR="00302211" w:rsidRPr="00BE19F5" w:rsidRDefault="00302211" w:rsidP="00302211">
            <w:pPr>
              <w:jc w:val="center"/>
            </w:pPr>
            <w:r>
              <w:t>2</w:t>
            </w:r>
          </w:p>
        </w:tc>
        <w:tc>
          <w:tcPr>
            <w:tcW w:w="1571" w:type="dxa"/>
          </w:tcPr>
          <w:p w14:paraId="690FFE5E" w14:textId="128A5114" w:rsidR="00302211" w:rsidRPr="00BE19F5" w:rsidRDefault="00302211" w:rsidP="002C1C1F"/>
        </w:tc>
        <w:tc>
          <w:tcPr>
            <w:tcW w:w="1531" w:type="dxa"/>
            <w:vAlign w:val="center"/>
          </w:tcPr>
          <w:p w14:paraId="291159A0" w14:textId="71A1D908" w:rsidR="00302211" w:rsidRPr="00BE19F5" w:rsidRDefault="00302211" w:rsidP="002C1C1F"/>
        </w:tc>
      </w:tr>
      <w:tr w:rsidR="007348E5" w:rsidRPr="00BE19F5" w14:paraId="634F3569" w14:textId="77777777" w:rsidTr="007348E5">
        <w:trPr>
          <w:trHeight w:val="371"/>
        </w:trPr>
        <w:tc>
          <w:tcPr>
            <w:tcW w:w="7530" w:type="dxa"/>
            <w:gridSpan w:val="3"/>
          </w:tcPr>
          <w:p w14:paraId="35416BE4" w14:textId="5655A587" w:rsidR="007348E5" w:rsidRPr="00BE19F5" w:rsidRDefault="007348E5" w:rsidP="002C1C1F">
            <w:r>
              <w:t xml:space="preserve">Piegāde un </w:t>
            </w:r>
            <w:r w:rsidRPr="007348E5">
              <w:t>uzstādīšan</w:t>
            </w:r>
            <w:r>
              <w:t>a</w:t>
            </w:r>
          </w:p>
        </w:tc>
        <w:tc>
          <w:tcPr>
            <w:tcW w:w="1531" w:type="dxa"/>
            <w:vAlign w:val="center"/>
          </w:tcPr>
          <w:p w14:paraId="29D4C9D2" w14:textId="77777777" w:rsidR="007348E5" w:rsidRPr="00BE19F5" w:rsidRDefault="007348E5" w:rsidP="002C1C1F"/>
        </w:tc>
      </w:tr>
      <w:tr w:rsidR="00302211" w:rsidRPr="00295888" w14:paraId="025B6BFB" w14:textId="57103B90" w:rsidTr="007348E5">
        <w:trPr>
          <w:trHeight w:val="564"/>
        </w:trPr>
        <w:tc>
          <w:tcPr>
            <w:tcW w:w="7530" w:type="dxa"/>
            <w:gridSpan w:val="3"/>
            <w:vAlign w:val="center"/>
          </w:tcPr>
          <w:p w14:paraId="428CB0F1" w14:textId="547097D1" w:rsidR="00302211" w:rsidRPr="00295888" w:rsidRDefault="00302211" w:rsidP="00302211">
            <w:pPr>
              <w:jc w:val="right"/>
            </w:pPr>
            <w:r w:rsidRPr="00295888">
              <w:t>PVN summa, EUR:</w:t>
            </w:r>
          </w:p>
        </w:tc>
        <w:tc>
          <w:tcPr>
            <w:tcW w:w="1531" w:type="dxa"/>
            <w:vAlign w:val="center"/>
          </w:tcPr>
          <w:p w14:paraId="5B7A6AAE" w14:textId="259E3CBC" w:rsidR="00302211" w:rsidRPr="00295888" w:rsidRDefault="00302211" w:rsidP="003A7972"/>
        </w:tc>
      </w:tr>
      <w:tr w:rsidR="00302211" w:rsidRPr="00295888" w14:paraId="6A77D181" w14:textId="7271CD97" w:rsidTr="007348E5">
        <w:trPr>
          <w:trHeight w:val="564"/>
        </w:trPr>
        <w:tc>
          <w:tcPr>
            <w:tcW w:w="7530" w:type="dxa"/>
            <w:gridSpan w:val="3"/>
            <w:vAlign w:val="center"/>
          </w:tcPr>
          <w:p w14:paraId="30CD23CB" w14:textId="494B9F38" w:rsidR="00302211" w:rsidRPr="00295888" w:rsidRDefault="00302211" w:rsidP="00302211">
            <w:pPr>
              <w:jc w:val="right"/>
            </w:pPr>
            <w:r w:rsidRPr="00295888">
              <w:t>Kopējā cena ar PVN, EUR:</w:t>
            </w:r>
          </w:p>
        </w:tc>
        <w:tc>
          <w:tcPr>
            <w:tcW w:w="1531" w:type="dxa"/>
            <w:vAlign w:val="center"/>
          </w:tcPr>
          <w:p w14:paraId="6D36CD88" w14:textId="2A6CF3AE" w:rsidR="00302211" w:rsidRPr="00295888" w:rsidRDefault="00302211" w:rsidP="003A7972"/>
        </w:tc>
      </w:tr>
    </w:tbl>
    <w:p w14:paraId="11AD2419" w14:textId="77777777" w:rsidR="00172E92" w:rsidRPr="00295888" w:rsidRDefault="00172E92" w:rsidP="00172E92"/>
    <w:p w14:paraId="3A4E8B94" w14:textId="2774F8E7" w:rsidR="00172E92" w:rsidRPr="00295888" w:rsidRDefault="00172E92" w:rsidP="00172E92">
      <w:pPr>
        <w:jc w:val="both"/>
        <w:rPr>
          <w:i/>
        </w:rPr>
      </w:pPr>
      <w:r w:rsidRPr="00295888">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295888"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095AAF"/>
    <w:multiLevelType w:val="hybridMultilevel"/>
    <w:tmpl w:val="E8BC2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5B050F"/>
    <w:multiLevelType w:val="hybridMultilevel"/>
    <w:tmpl w:val="92182B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50616">
    <w:abstractNumId w:val="2"/>
  </w:num>
  <w:num w:numId="2" w16cid:durableId="1316454001">
    <w:abstractNumId w:val="5"/>
  </w:num>
  <w:num w:numId="3" w16cid:durableId="1541747658">
    <w:abstractNumId w:val="0"/>
  </w:num>
  <w:num w:numId="4" w16cid:durableId="2119716365">
    <w:abstractNumId w:val="1"/>
  </w:num>
  <w:num w:numId="5" w16cid:durableId="1351644654">
    <w:abstractNumId w:val="3"/>
  </w:num>
  <w:num w:numId="6" w16cid:durableId="176757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25F3E"/>
    <w:rsid w:val="00077A8C"/>
    <w:rsid w:val="00120474"/>
    <w:rsid w:val="00172E92"/>
    <w:rsid w:val="002A5793"/>
    <w:rsid w:val="002C1C1F"/>
    <w:rsid w:val="00302211"/>
    <w:rsid w:val="00324FB8"/>
    <w:rsid w:val="003515B2"/>
    <w:rsid w:val="003A7972"/>
    <w:rsid w:val="003D7404"/>
    <w:rsid w:val="00414D73"/>
    <w:rsid w:val="00561C8E"/>
    <w:rsid w:val="005F3F2D"/>
    <w:rsid w:val="00617D8C"/>
    <w:rsid w:val="0063796A"/>
    <w:rsid w:val="006546B7"/>
    <w:rsid w:val="006633DF"/>
    <w:rsid w:val="00667A74"/>
    <w:rsid w:val="00683CB6"/>
    <w:rsid w:val="00687AC9"/>
    <w:rsid w:val="006C646C"/>
    <w:rsid w:val="006D05B0"/>
    <w:rsid w:val="006E61FE"/>
    <w:rsid w:val="00722B61"/>
    <w:rsid w:val="007348E5"/>
    <w:rsid w:val="007A5C17"/>
    <w:rsid w:val="007C0B16"/>
    <w:rsid w:val="00817328"/>
    <w:rsid w:val="00822185"/>
    <w:rsid w:val="00823912"/>
    <w:rsid w:val="00823A8B"/>
    <w:rsid w:val="00932EB0"/>
    <w:rsid w:val="009D4CF6"/>
    <w:rsid w:val="009F1290"/>
    <w:rsid w:val="00A729C9"/>
    <w:rsid w:val="00AF5C41"/>
    <w:rsid w:val="00B2400D"/>
    <w:rsid w:val="00B45237"/>
    <w:rsid w:val="00BB216E"/>
    <w:rsid w:val="00BE19F5"/>
    <w:rsid w:val="00BE353F"/>
    <w:rsid w:val="00C705DF"/>
    <w:rsid w:val="00D03AAA"/>
    <w:rsid w:val="00D50965"/>
    <w:rsid w:val="00D64138"/>
    <w:rsid w:val="00D71621"/>
    <w:rsid w:val="00DB47D4"/>
    <w:rsid w:val="00DF191D"/>
    <w:rsid w:val="00E51EC7"/>
    <w:rsid w:val="00EC7082"/>
    <w:rsid w:val="00ED2987"/>
    <w:rsid w:val="00F003B0"/>
    <w:rsid w:val="00F110E4"/>
    <w:rsid w:val="00F129CE"/>
    <w:rsid w:val="00F95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2EB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Virsraksts7">
    <w:name w:val="heading 7"/>
    <w:basedOn w:val="Parasts"/>
    <w:next w:val="Parasts"/>
    <w:link w:val="Virsraksts7Rakstz"/>
    <w:unhideWhenUsed/>
    <w:qFormat/>
    <w:rsid w:val="00172E92"/>
    <w:pPr>
      <w:spacing w:before="240" w:after="60"/>
      <w:outlineLvl w:val="6"/>
    </w:pPr>
    <w:rPr>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rPr>
      <w:lang w:val="en-US" w:eastAsia="en-US"/>
      <w14:ligatures w14:val="standardContextual"/>
    </w:r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14:ligatures w14:val="standardContextual"/>
    </w:rPr>
  </w:style>
  <w:style w:type="paragraph" w:customStyle="1" w:styleId="naisf">
    <w:name w:val="naisf"/>
    <w:basedOn w:val="Parasts"/>
    <w:rsid w:val="00172E92"/>
    <w:pPr>
      <w:spacing w:before="75" w:after="75"/>
      <w:ind w:firstLine="375"/>
      <w:jc w:val="both"/>
    </w:pPr>
    <w:rPr>
      <w14:ligatures w14:val="standardContextual"/>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 w:type="character" w:styleId="Hipersaite">
    <w:name w:val="Hyperlink"/>
    <w:basedOn w:val="Noklusjumarindkopasfonts"/>
    <w:uiPriority w:val="99"/>
    <w:unhideWhenUsed/>
    <w:rsid w:val="00F003B0"/>
    <w:rPr>
      <w:color w:val="0563C1" w:themeColor="hyperlink"/>
      <w:u w:val="single"/>
    </w:rPr>
  </w:style>
  <w:style w:type="character" w:styleId="Neatrisintapieminana">
    <w:name w:val="Unresolved Mention"/>
    <w:basedOn w:val="Noklusjumarindkopasfonts"/>
    <w:uiPriority w:val="99"/>
    <w:semiHidden/>
    <w:unhideWhenUsed/>
    <w:rsid w:val="00F00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2451</Words>
  <Characters>1398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2026-04-17T07:51:00Z</dcterms:created>
  <dcterms:modified xsi:type="dcterms:W3CDTF">2026-04-17T08:39:00Z</dcterms:modified>
</cp:coreProperties>
</file>