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84B1" w14:textId="77777777" w:rsidR="006A6B09" w:rsidRPr="007E592E" w:rsidRDefault="006A6B09" w:rsidP="006A6B09">
      <w:pPr>
        <w:suppressAutoHyphens/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szCs w:val="20"/>
        </w:rPr>
      </w:pPr>
      <w:r w:rsidRPr="007E592E">
        <w:rPr>
          <w:rFonts w:ascii="Cambria" w:eastAsia="Times New Roman" w:hAnsi="Cambria"/>
          <w:sz w:val="19"/>
          <w:szCs w:val="20"/>
        </w:rPr>
        <w:t>2. pielikums</w:t>
      </w:r>
      <w:r>
        <w:rPr>
          <w:rFonts w:ascii="Cambria" w:eastAsia="Times New Roman" w:hAnsi="Cambria"/>
          <w:sz w:val="19"/>
          <w:szCs w:val="20"/>
        </w:rPr>
        <w:br/>
      </w:r>
      <w:r w:rsidRPr="007E592E">
        <w:rPr>
          <w:rFonts w:ascii="Cambria" w:eastAsia="Times New Roman" w:hAnsi="Cambria"/>
          <w:sz w:val="19"/>
          <w:szCs w:val="20"/>
        </w:rPr>
        <w:t xml:space="preserve">Ropažu novada pašvaldības domes </w:t>
      </w:r>
      <w:r>
        <w:rPr>
          <w:rFonts w:ascii="Cambria" w:eastAsia="Times New Roman" w:hAnsi="Cambria"/>
          <w:sz w:val="19"/>
          <w:szCs w:val="20"/>
        </w:rPr>
        <w:br/>
      </w:r>
      <w:r w:rsidRPr="007E592E">
        <w:rPr>
          <w:rFonts w:ascii="Cambria" w:eastAsia="Times New Roman" w:hAnsi="Cambria"/>
          <w:sz w:val="19"/>
          <w:szCs w:val="20"/>
        </w:rPr>
        <w:t>saistošajiem noteikumiem Nr. 19/25</w:t>
      </w:r>
      <w:r>
        <w:rPr>
          <w:rFonts w:ascii="Cambria" w:eastAsia="Times New Roman" w:hAnsi="Cambria"/>
          <w:sz w:val="19"/>
          <w:szCs w:val="20"/>
        </w:rPr>
        <w:br/>
      </w:r>
      <w:r w:rsidRPr="007E592E">
        <w:rPr>
          <w:rFonts w:ascii="Cambria" w:eastAsia="Times New Roman" w:hAnsi="Cambria"/>
          <w:sz w:val="19"/>
          <w:szCs w:val="20"/>
        </w:rPr>
        <w:t>"Par Ropažu novada pašvaldības līdzfinansējumu</w:t>
      </w:r>
      <w:r>
        <w:rPr>
          <w:rFonts w:ascii="Cambria" w:eastAsia="Times New Roman" w:hAnsi="Cambria"/>
          <w:sz w:val="19"/>
          <w:szCs w:val="20"/>
        </w:rPr>
        <w:br/>
      </w:r>
      <w:r w:rsidRPr="007E592E">
        <w:rPr>
          <w:rFonts w:ascii="Cambria" w:eastAsia="Times New Roman" w:hAnsi="Cambria"/>
          <w:sz w:val="19"/>
          <w:szCs w:val="20"/>
        </w:rPr>
        <w:t xml:space="preserve"> daudzdzīvokļu dzīvojamām mājām piesaistīto zemesgabalu labiekārtošanai"</w:t>
      </w:r>
    </w:p>
    <w:p w14:paraId="20DA6886" w14:textId="77777777" w:rsidR="006A6B09" w:rsidRPr="007E592E" w:rsidRDefault="006A6B09" w:rsidP="006A6B09">
      <w:pPr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</w:rPr>
      </w:pPr>
      <w:r w:rsidRPr="007E592E">
        <w:rPr>
          <w:rFonts w:ascii="Cambria" w:hAnsi="Cambria"/>
          <w:b/>
          <w:bCs/>
          <w:sz w:val="22"/>
        </w:rPr>
        <w:t>BŪVNIECĪBAS KOPTĀME</w:t>
      </w:r>
    </w:p>
    <w:p w14:paraId="75E89792" w14:textId="77777777" w:rsidR="006A6B09" w:rsidRPr="007E592E" w:rsidRDefault="006A6B09" w:rsidP="006A6B09">
      <w:pPr>
        <w:suppressAutoHyphens/>
        <w:spacing w:before="130" w:line="260" w:lineRule="exact"/>
        <w:ind w:firstLine="539"/>
        <w:jc w:val="center"/>
        <w:rPr>
          <w:rFonts w:ascii="Cambria" w:hAnsi="Cambria"/>
          <w:b/>
          <w:bCs/>
          <w:sz w:val="19"/>
        </w:rPr>
      </w:pPr>
    </w:p>
    <w:p w14:paraId="770BB366" w14:textId="77777777" w:rsidR="006A6B09" w:rsidRPr="007E592E" w:rsidRDefault="006A6B09" w:rsidP="006A6B09">
      <w:pPr>
        <w:suppressAutoHyphens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</w:rPr>
      </w:pPr>
      <w:r w:rsidRPr="007E592E">
        <w:rPr>
          <w:rFonts w:ascii="Cambria" w:hAnsi="Cambria"/>
          <w:b/>
          <w:bCs/>
          <w:sz w:val="19"/>
        </w:rPr>
        <w:t>Pasūtītājs:________________________________________</w:t>
      </w:r>
    </w:p>
    <w:p w14:paraId="16EE3789" w14:textId="77777777" w:rsidR="006A6B09" w:rsidRPr="007E592E" w:rsidRDefault="006A6B09" w:rsidP="006A6B09">
      <w:pPr>
        <w:suppressAutoHyphens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</w:rPr>
      </w:pPr>
      <w:r w:rsidRPr="007E592E">
        <w:rPr>
          <w:rFonts w:ascii="Cambria" w:hAnsi="Cambria"/>
          <w:b/>
          <w:bCs/>
          <w:sz w:val="19"/>
        </w:rPr>
        <w:t>Būves nosaukums:_________________________________ Objekta nosaukums___________________________</w:t>
      </w:r>
    </w:p>
    <w:p w14:paraId="4BD53067" w14:textId="77777777" w:rsidR="006A6B09" w:rsidRDefault="006A6B09" w:rsidP="006A6B09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</w:rPr>
      </w:pPr>
      <w:r w:rsidRPr="007E592E">
        <w:rPr>
          <w:rFonts w:ascii="Cambria" w:hAnsi="Cambria"/>
          <w:b/>
          <w:bCs/>
          <w:sz w:val="19"/>
        </w:rPr>
        <w:t>Objekta adrese:___________________________________</w:t>
      </w:r>
      <w:r w:rsidRPr="007E592E">
        <w:rPr>
          <w:rFonts w:ascii="Cambria" w:hAnsi="Cambria"/>
          <w:sz w:val="19"/>
        </w:rPr>
        <w:t> Tāme sastādīta 202__. gada</w:t>
      </w:r>
    </w:p>
    <w:p w14:paraId="4CAEAAA5" w14:textId="77777777" w:rsidR="006A6B09" w:rsidRPr="007E592E" w:rsidRDefault="006A6B09" w:rsidP="006A6B09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39"/>
        <w:gridCol w:w="3627"/>
        <w:gridCol w:w="6089"/>
      </w:tblGrid>
      <w:tr w:rsidR="006A6B09" w:rsidRPr="007E592E" w14:paraId="743F0EA0" w14:textId="77777777" w:rsidTr="00566817">
        <w:trPr>
          <w:trHeight w:val="22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63D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Objekta nosaukums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1305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Objekta izmaksas, </w:t>
            </w:r>
            <w:r w:rsidRPr="007E592E">
              <w:rPr>
                <w:rFonts w:ascii="Cambria" w:hAnsi="Cambria"/>
                <w:b/>
                <w:bCs/>
                <w:i/>
                <w:iCs/>
                <w:sz w:val="19"/>
              </w:rPr>
              <w:t>euro</w:t>
            </w:r>
          </w:p>
        </w:tc>
        <w:tc>
          <w:tcPr>
            <w:tcW w:w="235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97525A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59B2563F" w14:textId="77777777" w:rsidTr="00566817">
        <w:trPr>
          <w:trHeight w:val="22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F85A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61A6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35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82E5B0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702D090F" w14:textId="77777777" w:rsidTr="00566817">
        <w:trPr>
          <w:trHeight w:val="22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8967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Kopā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F815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35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6BF1E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68E3771C" w14:textId="77777777" w:rsidTr="00566817">
        <w:trPr>
          <w:trHeight w:val="22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6DE0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PVN (21 %)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F3BB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35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B3201A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62034FD6" w14:textId="77777777" w:rsidTr="00566817">
        <w:trPr>
          <w:trHeight w:val="22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5C2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Pavisam kopā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AB4C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35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4C2A67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</w:tbl>
    <w:p w14:paraId="341ABB35" w14:textId="77777777" w:rsidR="006A6B09" w:rsidRPr="007E592E" w:rsidRDefault="006A6B09" w:rsidP="006A6B09">
      <w:pPr>
        <w:suppressAutoHyphens/>
        <w:spacing w:before="130" w:after="120" w:line="260" w:lineRule="exact"/>
        <w:ind w:firstLine="539"/>
        <w:jc w:val="right"/>
        <w:rPr>
          <w:rFonts w:ascii="Cambria" w:hAnsi="Cambria"/>
          <w:b/>
          <w:bCs/>
          <w:sz w:val="19"/>
        </w:rPr>
      </w:pPr>
      <w:r w:rsidRPr="007E592E">
        <w:rPr>
          <w:rFonts w:ascii="Cambria" w:hAnsi="Cambria"/>
          <w:b/>
          <w:bCs/>
          <w:sz w:val="19"/>
        </w:rPr>
        <w:t>Lokālā tāme Nr.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4"/>
        <w:gridCol w:w="623"/>
        <w:gridCol w:w="882"/>
        <w:gridCol w:w="364"/>
        <w:gridCol w:w="111"/>
        <w:gridCol w:w="617"/>
        <w:gridCol w:w="110"/>
        <w:gridCol w:w="395"/>
        <w:gridCol w:w="525"/>
        <w:gridCol w:w="120"/>
        <w:gridCol w:w="358"/>
        <w:gridCol w:w="119"/>
        <w:gridCol w:w="421"/>
        <w:gridCol w:w="420"/>
        <w:gridCol w:w="596"/>
        <w:gridCol w:w="883"/>
        <w:gridCol w:w="1012"/>
        <w:gridCol w:w="753"/>
        <w:gridCol w:w="1111"/>
        <w:gridCol w:w="753"/>
        <w:gridCol w:w="797"/>
        <w:gridCol w:w="960"/>
        <w:gridCol w:w="656"/>
      </w:tblGrid>
      <w:tr w:rsidR="006A6B09" w:rsidRPr="007E592E" w14:paraId="519B12D3" w14:textId="77777777" w:rsidTr="00566817">
        <w:trPr>
          <w:trHeight w:val="227"/>
        </w:trPr>
        <w:tc>
          <w:tcPr>
            <w:tcW w:w="1550" w:type="pct"/>
            <w:gridSpan w:val="9"/>
            <w:hideMark/>
          </w:tcPr>
          <w:p w14:paraId="008CA5D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800" w:type="pct"/>
            <w:gridSpan w:val="9"/>
            <w:hideMark/>
          </w:tcPr>
          <w:p w14:paraId="2EC3DF4F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Vienības izmaksas</w:t>
            </w:r>
          </w:p>
        </w:tc>
        <w:tc>
          <w:tcPr>
            <w:tcW w:w="1650" w:type="pct"/>
            <w:gridSpan w:val="5"/>
            <w:hideMark/>
          </w:tcPr>
          <w:p w14:paraId="2B5AB33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Kopā uz visu apjomu</w:t>
            </w:r>
          </w:p>
        </w:tc>
      </w:tr>
      <w:tr w:rsidR="006A6B09" w:rsidRPr="007E592E" w14:paraId="67BB39BE" w14:textId="77777777" w:rsidTr="00566817">
        <w:trPr>
          <w:trHeight w:val="227"/>
        </w:trPr>
        <w:tc>
          <w:tcPr>
            <w:tcW w:w="150" w:type="pct"/>
            <w:vAlign w:val="center"/>
            <w:hideMark/>
          </w:tcPr>
          <w:p w14:paraId="452DFAD0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Nr. p.k.</w:t>
            </w:r>
          </w:p>
        </w:tc>
        <w:tc>
          <w:tcPr>
            <w:tcW w:w="250" w:type="pct"/>
            <w:vAlign w:val="center"/>
            <w:hideMark/>
          </w:tcPr>
          <w:p w14:paraId="0FFBCABE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Kods</w:t>
            </w:r>
          </w:p>
        </w:tc>
        <w:tc>
          <w:tcPr>
            <w:tcW w:w="500" w:type="pct"/>
            <w:gridSpan w:val="2"/>
            <w:vAlign w:val="center"/>
            <w:hideMark/>
          </w:tcPr>
          <w:p w14:paraId="499D91F2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Darba nosaukums</w:t>
            </w:r>
          </w:p>
        </w:tc>
        <w:tc>
          <w:tcPr>
            <w:tcW w:w="350" w:type="pct"/>
            <w:gridSpan w:val="3"/>
            <w:vAlign w:val="center"/>
            <w:hideMark/>
          </w:tcPr>
          <w:p w14:paraId="3CF4D039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Mērvien.</w:t>
            </w:r>
          </w:p>
        </w:tc>
        <w:tc>
          <w:tcPr>
            <w:tcW w:w="350" w:type="pct"/>
            <w:gridSpan w:val="2"/>
            <w:vAlign w:val="center"/>
            <w:hideMark/>
          </w:tcPr>
          <w:p w14:paraId="16E4F659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Daudzums</w:t>
            </w:r>
          </w:p>
        </w:tc>
        <w:tc>
          <w:tcPr>
            <w:tcW w:w="250" w:type="pct"/>
            <w:gridSpan w:val="3"/>
            <w:vAlign w:val="center"/>
            <w:hideMark/>
          </w:tcPr>
          <w:p w14:paraId="68CB6D6D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laika norma</w:t>
            </w:r>
          </w:p>
          <w:p w14:paraId="5F31D82C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(c/h)</w:t>
            </w:r>
          </w:p>
        </w:tc>
        <w:tc>
          <w:tcPr>
            <w:tcW w:w="300" w:type="pct"/>
            <w:gridSpan w:val="2"/>
            <w:vAlign w:val="center"/>
            <w:hideMark/>
          </w:tcPr>
          <w:p w14:paraId="163EE734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darba samaksas likme</w:t>
            </w:r>
          </w:p>
          <w:p w14:paraId="063879DB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(€/h)</w:t>
            </w:r>
          </w:p>
        </w:tc>
        <w:tc>
          <w:tcPr>
            <w:tcW w:w="250" w:type="pct"/>
            <w:vAlign w:val="center"/>
            <w:hideMark/>
          </w:tcPr>
          <w:p w14:paraId="3FA7705E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darba alga</w:t>
            </w:r>
          </w:p>
        </w:tc>
        <w:tc>
          <w:tcPr>
            <w:tcW w:w="350" w:type="pct"/>
            <w:vAlign w:val="center"/>
            <w:hideMark/>
          </w:tcPr>
          <w:p w14:paraId="158EADA1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materiāli</w:t>
            </w:r>
          </w:p>
        </w:tc>
        <w:tc>
          <w:tcPr>
            <w:tcW w:w="400" w:type="pct"/>
            <w:vAlign w:val="center"/>
            <w:hideMark/>
          </w:tcPr>
          <w:p w14:paraId="1DA7A70C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mehānismi</w:t>
            </w:r>
          </w:p>
        </w:tc>
        <w:tc>
          <w:tcPr>
            <w:tcW w:w="250" w:type="pct"/>
            <w:vAlign w:val="center"/>
            <w:hideMark/>
          </w:tcPr>
          <w:p w14:paraId="43C03B9F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kopā</w:t>
            </w:r>
          </w:p>
        </w:tc>
        <w:tc>
          <w:tcPr>
            <w:tcW w:w="400" w:type="pct"/>
            <w:vAlign w:val="center"/>
            <w:hideMark/>
          </w:tcPr>
          <w:p w14:paraId="40BC0872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darbietilpība (c/h)</w:t>
            </w:r>
          </w:p>
        </w:tc>
        <w:tc>
          <w:tcPr>
            <w:tcW w:w="300" w:type="pct"/>
            <w:vAlign w:val="center"/>
            <w:hideMark/>
          </w:tcPr>
          <w:p w14:paraId="089CD469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darba alga</w:t>
            </w:r>
          </w:p>
        </w:tc>
        <w:tc>
          <w:tcPr>
            <w:tcW w:w="300" w:type="pct"/>
            <w:vAlign w:val="center"/>
            <w:hideMark/>
          </w:tcPr>
          <w:p w14:paraId="038D6F34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materiāli</w:t>
            </w:r>
          </w:p>
        </w:tc>
        <w:tc>
          <w:tcPr>
            <w:tcW w:w="350" w:type="pct"/>
            <w:vAlign w:val="center"/>
            <w:hideMark/>
          </w:tcPr>
          <w:p w14:paraId="63EFD410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mehānismi</w:t>
            </w:r>
          </w:p>
        </w:tc>
        <w:tc>
          <w:tcPr>
            <w:tcW w:w="300" w:type="pct"/>
            <w:vAlign w:val="center"/>
            <w:hideMark/>
          </w:tcPr>
          <w:p w14:paraId="02A7502B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summa</w:t>
            </w:r>
          </w:p>
        </w:tc>
      </w:tr>
      <w:tr w:rsidR="006A6B09" w:rsidRPr="007E592E" w14:paraId="644368EC" w14:textId="77777777" w:rsidTr="00566817">
        <w:trPr>
          <w:trHeight w:val="227"/>
        </w:trPr>
        <w:tc>
          <w:tcPr>
            <w:tcW w:w="150" w:type="pct"/>
            <w:hideMark/>
          </w:tcPr>
          <w:p w14:paraId="14A309BE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1</w:t>
            </w:r>
          </w:p>
        </w:tc>
        <w:tc>
          <w:tcPr>
            <w:tcW w:w="250" w:type="pct"/>
            <w:hideMark/>
          </w:tcPr>
          <w:p w14:paraId="4DB96EBA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2</w:t>
            </w:r>
          </w:p>
        </w:tc>
        <w:tc>
          <w:tcPr>
            <w:tcW w:w="500" w:type="pct"/>
            <w:gridSpan w:val="2"/>
            <w:hideMark/>
          </w:tcPr>
          <w:p w14:paraId="5DD9B1F5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3</w:t>
            </w:r>
          </w:p>
        </w:tc>
        <w:tc>
          <w:tcPr>
            <w:tcW w:w="350" w:type="pct"/>
            <w:gridSpan w:val="3"/>
            <w:hideMark/>
          </w:tcPr>
          <w:p w14:paraId="038CDC6C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4</w:t>
            </w:r>
          </w:p>
        </w:tc>
        <w:tc>
          <w:tcPr>
            <w:tcW w:w="350" w:type="pct"/>
            <w:gridSpan w:val="2"/>
            <w:hideMark/>
          </w:tcPr>
          <w:p w14:paraId="4DF0DB99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5</w:t>
            </w:r>
          </w:p>
        </w:tc>
        <w:tc>
          <w:tcPr>
            <w:tcW w:w="250" w:type="pct"/>
            <w:gridSpan w:val="3"/>
            <w:hideMark/>
          </w:tcPr>
          <w:p w14:paraId="2C25578C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6</w:t>
            </w:r>
          </w:p>
        </w:tc>
        <w:tc>
          <w:tcPr>
            <w:tcW w:w="300" w:type="pct"/>
            <w:gridSpan w:val="2"/>
            <w:hideMark/>
          </w:tcPr>
          <w:p w14:paraId="2F9C5CF8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7</w:t>
            </w:r>
          </w:p>
        </w:tc>
        <w:tc>
          <w:tcPr>
            <w:tcW w:w="250" w:type="pct"/>
            <w:hideMark/>
          </w:tcPr>
          <w:p w14:paraId="1CA75808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8</w:t>
            </w:r>
          </w:p>
        </w:tc>
        <w:tc>
          <w:tcPr>
            <w:tcW w:w="350" w:type="pct"/>
            <w:hideMark/>
          </w:tcPr>
          <w:p w14:paraId="5AE8FEC0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9</w:t>
            </w:r>
          </w:p>
        </w:tc>
        <w:tc>
          <w:tcPr>
            <w:tcW w:w="400" w:type="pct"/>
            <w:hideMark/>
          </w:tcPr>
          <w:p w14:paraId="3781EF68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10</w:t>
            </w:r>
          </w:p>
        </w:tc>
        <w:tc>
          <w:tcPr>
            <w:tcW w:w="250" w:type="pct"/>
            <w:hideMark/>
          </w:tcPr>
          <w:p w14:paraId="0ECA3297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11</w:t>
            </w:r>
          </w:p>
        </w:tc>
        <w:tc>
          <w:tcPr>
            <w:tcW w:w="400" w:type="pct"/>
            <w:hideMark/>
          </w:tcPr>
          <w:p w14:paraId="7E037B1B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12</w:t>
            </w:r>
          </w:p>
        </w:tc>
        <w:tc>
          <w:tcPr>
            <w:tcW w:w="300" w:type="pct"/>
            <w:hideMark/>
          </w:tcPr>
          <w:p w14:paraId="6696BA1C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13</w:t>
            </w:r>
          </w:p>
        </w:tc>
        <w:tc>
          <w:tcPr>
            <w:tcW w:w="300" w:type="pct"/>
            <w:hideMark/>
          </w:tcPr>
          <w:p w14:paraId="3F6EB564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14</w:t>
            </w:r>
          </w:p>
        </w:tc>
        <w:tc>
          <w:tcPr>
            <w:tcW w:w="350" w:type="pct"/>
            <w:hideMark/>
          </w:tcPr>
          <w:p w14:paraId="1531826A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15</w:t>
            </w:r>
          </w:p>
        </w:tc>
        <w:tc>
          <w:tcPr>
            <w:tcW w:w="300" w:type="pct"/>
            <w:hideMark/>
          </w:tcPr>
          <w:p w14:paraId="2764E21E" w14:textId="77777777" w:rsidR="006A6B09" w:rsidRPr="007E592E" w:rsidRDefault="006A6B09" w:rsidP="00566817">
            <w:pPr>
              <w:suppressAutoHyphens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16</w:t>
            </w:r>
          </w:p>
        </w:tc>
      </w:tr>
      <w:tr w:rsidR="006A6B09" w:rsidRPr="007E592E" w14:paraId="49B01DB6" w14:textId="77777777" w:rsidTr="00566817">
        <w:trPr>
          <w:trHeight w:val="227"/>
        </w:trPr>
        <w:tc>
          <w:tcPr>
            <w:tcW w:w="150" w:type="pct"/>
            <w:hideMark/>
          </w:tcPr>
          <w:p w14:paraId="091CFF47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3879FC98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500" w:type="pct"/>
            <w:gridSpan w:val="2"/>
            <w:hideMark/>
          </w:tcPr>
          <w:p w14:paraId="3ADC16BB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gridSpan w:val="3"/>
            <w:hideMark/>
          </w:tcPr>
          <w:p w14:paraId="2860D0A9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14:paraId="2531BD3C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gridSpan w:val="3"/>
            <w:hideMark/>
          </w:tcPr>
          <w:p w14:paraId="00357879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gridSpan w:val="2"/>
            <w:hideMark/>
          </w:tcPr>
          <w:p w14:paraId="1E5B6CFC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3470CDC6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hideMark/>
          </w:tcPr>
          <w:p w14:paraId="6692FF11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400" w:type="pct"/>
            <w:hideMark/>
          </w:tcPr>
          <w:p w14:paraId="30501CB9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0C6AAE1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400" w:type="pct"/>
            <w:hideMark/>
          </w:tcPr>
          <w:p w14:paraId="73A65E42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507AEE01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17098916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hideMark/>
          </w:tcPr>
          <w:p w14:paraId="63DCD9F8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2AA2FC27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1629B18A" w14:textId="77777777" w:rsidTr="00566817">
        <w:trPr>
          <w:trHeight w:val="227"/>
        </w:trPr>
        <w:tc>
          <w:tcPr>
            <w:tcW w:w="150" w:type="pct"/>
            <w:hideMark/>
          </w:tcPr>
          <w:p w14:paraId="0470BC24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73EE6F91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500" w:type="pct"/>
            <w:gridSpan w:val="2"/>
            <w:hideMark/>
          </w:tcPr>
          <w:p w14:paraId="1D3AFA40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gridSpan w:val="3"/>
            <w:hideMark/>
          </w:tcPr>
          <w:p w14:paraId="7A9F245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14:paraId="4643100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gridSpan w:val="3"/>
            <w:hideMark/>
          </w:tcPr>
          <w:p w14:paraId="15CB9DC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gridSpan w:val="2"/>
            <w:hideMark/>
          </w:tcPr>
          <w:p w14:paraId="3F700FEA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491F6830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hideMark/>
          </w:tcPr>
          <w:p w14:paraId="54ECCDA8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400" w:type="pct"/>
            <w:hideMark/>
          </w:tcPr>
          <w:p w14:paraId="1B9A862B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1219D4D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400" w:type="pct"/>
            <w:hideMark/>
          </w:tcPr>
          <w:p w14:paraId="040654C9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01EF43F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531017C0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hideMark/>
          </w:tcPr>
          <w:p w14:paraId="2B6C0E99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6B78D8FF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63838ADF" w14:textId="77777777" w:rsidTr="00566817">
        <w:trPr>
          <w:trHeight w:val="227"/>
        </w:trPr>
        <w:tc>
          <w:tcPr>
            <w:tcW w:w="150" w:type="pct"/>
            <w:hideMark/>
          </w:tcPr>
          <w:p w14:paraId="588CBB32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29F6529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500" w:type="pct"/>
            <w:gridSpan w:val="2"/>
            <w:hideMark/>
          </w:tcPr>
          <w:p w14:paraId="69CC4EF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Kopā</w:t>
            </w:r>
          </w:p>
        </w:tc>
        <w:tc>
          <w:tcPr>
            <w:tcW w:w="350" w:type="pct"/>
            <w:gridSpan w:val="3"/>
            <w:hideMark/>
          </w:tcPr>
          <w:p w14:paraId="5DFF26B6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gridSpan w:val="2"/>
            <w:hideMark/>
          </w:tcPr>
          <w:p w14:paraId="207CF60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gridSpan w:val="3"/>
            <w:hideMark/>
          </w:tcPr>
          <w:p w14:paraId="74F813B5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gridSpan w:val="2"/>
            <w:hideMark/>
          </w:tcPr>
          <w:p w14:paraId="6C18EF6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13A61F5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hideMark/>
          </w:tcPr>
          <w:p w14:paraId="670DE28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400" w:type="pct"/>
            <w:hideMark/>
          </w:tcPr>
          <w:p w14:paraId="1AB7B07B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13FA1FF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400" w:type="pct"/>
            <w:hideMark/>
          </w:tcPr>
          <w:p w14:paraId="7DA868C4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0,00</w:t>
            </w:r>
          </w:p>
        </w:tc>
        <w:tc>
          <w:tcPr>
            <w:tcW w:w="300" w:type="pct"/>
            <w:hideMark/>
          </w:tcPr>
          <w:p w14:paraId="40C82FF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0,00</w:t>
            </w:r>
          </w:p>
        </w:tc>
        <w:tc>
          <w:tcPr>
            <w:tcW w:w="300" w:type="pct"/>
            <w:hideMark/>
          </w:tcPr>
          <w:p w14:paraId="5AE443C9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0,00</w:t>
            </w:r>
          </w:p>
        </w:tc>
        <w:tc>
          <w:tcPr>
            <w:tcW w:w="350" w:type="pct"/>
            <w:hideMark/>
          </w:tcPr>
          <w:p w14:paraId="02094CF1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0,00</w:t>
            </w:r>
          </w:p>
        </w:tc>
        <w:tc>
          <w:tcPr>
            <w:tcW w:w="300" w:type="pct"/>
            <w:hideMark/>
          </w:tcPr>
          <w:p w14:paraId="39D961A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0,00</w:t>
            </w:r>
          </w:p>
        </w:tc>
      </w:tr>
      <w:tr w:rsidR="006A6B09" w:rsidRPr="007E592E" w14:paraId="2D1BB25E" w14:textId="77777777" w:rsidTr="00566817">
        <w:trPr>
          <w:trHeight w:val="227"/>
        </w:trPr>
        <w:tc>
          <w:tcPr>
            <w:tcW w:w="150" w:type="pct"/>
            <w:hideMark/>
          </w:tcPr>
          <w:p w14:paraId="487389F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lastRenderedPageBreak/>
              <w:t> </w:t>
            </w:r>
          </w:p>
        </w:tc>
        <w:tc>
          <w:tcPr>
            <w:tcW w:w="250" w:type="pct"/>
            <w:hideMark/>
          </w:tcPr>
          <w:p w14:paraId="1381AE37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700" w:type="pct"/>
            <w:gridSpan w:val="15"/>
            <w:hideMark/>
          </w:tcPr>
          <w:p w14:paraId="71053EC2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Materiālu, grunts apmaiņas un būvgružu transporta izdevumi (% no materiālu vērtības)</w:t>
            </w:r>
          </w:p>
        </w:tc>
        <w:tc>
          <w:tcPr>
            <w:tcW w:w="250" w:type="pct"/>
            <w:hideMark/>
          </w:tcPr>
          <w:p w14:paraId="71457CF4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400" w:type="pct"/>
            <w:hideMark/>
          </w:tcPr>
          <w:p w14:paraId="11D78CD0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1541B7E5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153885B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0,00</w:t>
            </w:r>
          </w:p>
        </w:tc>
        <w:tc>
          <w:tcPr>
            <w:tcW w:w="350" w:type="pct"/>
            <w:hideMark/>
          </w:tcPr>
          <w:p w14:paraId="346F6A52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314E8A48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0,00</w:t>
            </w:r>
          </w:p>
        </w:tc>
      </w:tr>
      <w:tr w:rsidR="006A6B09" w:rsidRPr="007E592E" w14:paraId="1DECECB9" w14:textId="77777777" w:rsidTr="00566817">
        <w:trPr>
          <w:trHeight w:val="227"/>
        </w:trPr>
        <w:tc>
          <w:tcPr>
            <w:tcW w:w="150" w:type="pct"/>
            <w:hideMark/>
          </w:tcPr>
          <w:p w14:paraId="1A967B32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1A00E5B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50" w:type="pct"/>
            <w:hideMark/>
          </w:tcPr>
          <w:p w14:paraId="2F7A3C75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00" w:type="pct"/>
            <w:gridSpan w:val="2"/>
            <w:hideMark/>
          </w:tcPr>
          <w:p w14:paraId="7F6E223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hideMark/>
          </w:tcPr>
          <w:p w14:paraId="3F230C97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00" w:type="pct"/>
            <w:gridSpan w:val="2"/>
            <w:hideMark/>
          </w:tcPr>
          <w:p w14:paraId="3EA6E5A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50" w:type="pct"/>
            <w:gridSpan w:val="2"/>
            <w:hideMark/>
          </w:tcPr>
          <w:p w14:paraId="23C62279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50" w:type="pct"/>
            <w:hideMark/>
          </w:tcPr>
          <w:p w14:paraId="032542C5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00" w:type="pct"/>
            <w:gridSpan w:val="2"/>
            <w:hideMark/>
          </w:tcPr>
          <w:p w14:paraId="477F25A1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450" w:type="pct"/>
            <w:gridSpan w:val="5"/>
            <w:hideMark/>
          </w:tcPr>
          <w:p w14:paraId="73D375D1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Tiešās izmaksas kopā</w:t>
            </w:r>
          </w:p>
        </w:tc>
        <w:tc>
          <w:tcPr>
            <w:tcW w:w="400" w:type="pct"/>
            <w:hideMark/>
          </w:tcPr>
          <w:p w14:paraId="125BCC17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0,00</w:t>
            </w:r>
          </w:p>
        </w:tc>
        <w:tc>
          <w:tcPr>
            <w:tcW w:w="300" w:type="pct"/>
            <w:hideMark/>
          </w:tcPr>
          <w:p w14:paraId="66B136E4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0,00</w:t>
            </w:r>
          </w:p>
        </w:tc>
        <w:tc>
          <w:tcPr>
            <w:tcW w:w="300" w:type="pct"/>
            <w:hideMark/>
          </w:tcPr>
          <w:p w14:paraId="3793ACEF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0,00</w:t>
            </w:r>
          </w:p>
        </w:tc>
        <w:tc>
          <w:tcPr>
            <w:tcW w:w="350" w:type="pct"/>
            <w:hideMark/>
          </w:tcPr>
          <w:p w14:paraId="375E1A1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0,00</w:t>
            </w:r>
          </w:p>
        </w:tc>
        <w:tc>
          <w:tcPr>
            <w:tcW w:w="300" w:type="pct"/>
            <w:hideMark/>
          </w:tcPr>
          <w:p w14:paraId="301B2F28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0,00</w:t>
            </w:r>
          </w:p>
        </w:tc>
      </w:tr>
      <w:tr w:rsidR="006A6B09" w:rsidRPr="007E592E" w14:paraId="325AB01B" w14:textId="77777777" w:rsidTr="00566817">
        <w:trPr>
          <w:trHeight w:val="227"/>
        </w:trPr>
        <w:tc>
          <w:tcPr>
            <w:tcW w:w="4700" w:type="pct"/>
            <w:gridSpan w:val="22"/>
            <w:hideMark/>
          </w:tcPr>
          <w:p w14:paraId="25422ADC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KOPĀ:</w:t>
            </w:r>
          </w:p>
        </w:tc>
        <w:tc>
          <w:tcPr>
            <w:tcW w:w="300" w:type="pct"/>
            <w:hideMark/>
          </w:tcPr>
          <w:p w14:paraId="7672EF7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0,00</w:t>
            </w:r>
          </w:p>
        </w:tc>
      </w:tr>
      <w:tr w:rsidR="006A6B09" w:rsidRPr="007E592E" w14:paraId="3F73CA45" w14:textId="77777777" w:rsidTr="00566817">
        <w:trPr>
          <w:trHeight w:val="227"/>
        </w:trPr>
        <w:tc>
          <w:tcPr>
            <w:tcW w:w="3350" w:type="pct"/>
            <w:gridSpan w:val="18"/>
            <w:vMerge w:val="restart"/>
            <w:tcBorders>
              <w:left w:val="nil"/>
              <w:bottom w:val="nil"/>
            </w:tcBorders>
            <w:hideMark/>
          </w:tcPr>
          <w:p w14:paraId="5C22D50C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Sastādīja:</w:t>
            </w:r>
            <w:r w:rsidRPr="007E592E">
              <w:rPr>
                <w:rFonts w:ascii="Cambria" w:hAnsi="Cambria"/>
                <w:sz w:val="19"/>
              </w:rPr>
              <w:t> </w:t>
            </w:r>
            <w:r w:rsidRPr="007E592E">
              <w:rPr>
                <w:rFonts w:ascii="Cambria" w:hAnsi="Cambria"/>
                <w:i/>
                <w:iCs/>
                <w:sz w:val="19"/>
              </w:rPr>
              <w:t>(paraksts, tā atšifrējums,</w:t>
            </w:r>
            <w:r w:rsidRPr="007E592E">
              <w:rPr>
                <w:rFonts w:ascii="Cambria" w:hAnsi="Cambria"/>
                <w:sz w:val="19"/>
              </w:rPr>
              <w:t> sertifikāta Nr.</w:t>
            </w:r>
            <w:r w:rsidRPr="007E592E">
              <w:rPr>
                <w:rFonts w:ascii="Cambria" w:hAnsi="Cambria"/>
                <w:i/>
                <w:iCs/>
                <w:sz w:val="19"/>
              </w:rPr>
              <w:t>) ____________________________________</w:t>
            </w:r>
          </w:p>
        </w:tc>
        <w:tc>
          <w:tcPr>
            <w:tcW w:w="1000" w:type="pct"/>
            <w:gridSpan w:val="3"/>
            <w:hideMark/>
          </w:tcPr>
          <w:p w14:paraId="3F541403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Virsizdevumi</w:t>
            </w:r>
          </w:p>
        </w:tc>
        <w:tc>
          <w:tcPr>
            <w:tcW w:w="350" w:type="pct"/>
            <w:hideMark/>
          </w:tcPr>
          <w:p w14:paraId="17908B16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1F349639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1BBED2EE" w14:textId="77777777" w:rsidTr="00566817">
        <w:trPr>
          <w:trHeight w:val="227"/>
        </w:trPr>
        <w:tc>
          <w:tcPr>
            <w:tcW w:w="0" w:type="auto"/>
            <w:gridSpan w:val="18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5823906F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1000" w:type="pct"/>
            <w:gridSpan w:val="3"/>
            <w:hideMark/>
          </w:tcPr>
          <w:p w14:paraId="6768C438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i/>
                <w:iCs/>
                <w:sz w:val="19"/>
              </w:rPr>
            </w:pPr>
            <w:r w:rsidRPr="007E592E">
              <w:rPr>
                <w:rFonts w:ascii="Cambria" w:hAnsi="Cambria"/>
                <w:i/>
                <w:iCs/>
                <w:sz w:val="19"/>
              </w:rPr>
              <w:t>t. sk. darba aizsardzība</w:t>
            </w:r>
          </w:p>
        </w:tc>
        <w:tc>
          <w:tcPr>
            <w:tcW w:w="350" w:type="pct"/>
            <w:hideMark/>
          </w:tcPr>
          <w:p w14:paraId="393C86A4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62060370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60CB90A0" w14:textId="77777777" w:rsidTr="00566817">
        <w:trPr>
          <w:trHeight w:val="227"/>
        </w:trPr>
        <w:tc>
          <w:tcPr>
            <w:tcW w:w="0" w:type="auto"/>
            <w:gridSpan w:val="18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2AEB5E1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1000" w:type="pct"/>
            <w:gridSpan w:val="3"/>
            <w:hideMark/>
          </w:tcPr>
          <w:p w14:paraId="03841BCF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Peļņa</w:t>
            </w:r>
          </w:p>
        </w:tc>
        <w:tc>
          <w:tcPr>
            <w:tcW w:w="350" w:type="pct"/>
            <w:hideMark/>
          </w:tcPr>
          <w:p w14:paraId="7E2B87F9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300" w:type="pct"/>
            <w:hideMark/>
          </w:tcPr>
          <w:p w14:paraId="670C5FFE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60259065" w14:textId="77777777" w:rsidTr="00566817">
        <w:trPr>
          <w:trHeight w:val="227"/>
        </w:trPr>
        <w:tc>
          <w:tcPr>
            <w:tcW w:w="3350" w:type="pct"/>
            <w:gridSpan w:val="18"/>
            <w:tcBorders>
              <w:top w:val="nil"/>
              <w:left w:val="nil"/>
              <w:bottom w:val="nil"/>
            </w:tcBorders>
            <w:hideMark/>
          </w:tcPr>
          <w:p w14:paraId="7C7845E7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000" w:type="pct"/>
            <w:gridSpan w:val="3"/>
            <w:hideMark/>
          </w:tcPr>
          <w:p w14:paraId="2D1EB1D2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Darba devēja sociālais nodoklis</w:t>
            </w:r>
          </w:p>
        </w:tc>
        <w:tc>
          <w:tcPr>
            <w:tcW w:w="350" w:type="pct"/>
            <w:hideMark/>
          </w:tcPr>
          <w:p w14:paraId="0D98855B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___ %</w:t>
            </w:r>
          </w:p>
        </w:tc>
        <w:tc>
          <w:tcPr>
            <w:tcW w:w="300" w:type="pct"/>
            <w:hideMark/>
          </w:tcPr>
          <w:p w14:paraId="2F40B326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  <w:tr w:rsidR="006A6B09" w:rsidRPr="007E592E" w14:paraId="15482D57" w14:textId="77777777" w:rsidTr="00566817">
        <w:trPr>
          <w:trHeight w:val="227"/>
        </w:trPr>
        <w:tc>
          <w:tcPr>
            <w:tcW w:w="3350" w:type="pct"/>
            <w:gridSpan w:val="18"/>
            <w:tcBorders>
              <w:top w:val="nil"/>
              <w:left w:val="nil"/>
              <w:bottom w:val="nil"/>
            </w:tcBorders>
            <w:hideMark/>
          </w:tcPr>
          <w:p w14:paraId="1C21597F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Pārbaudīja:</w:t>
            </w:r>
            <w:r w:rsidRPr="007E592E">
              <w:rPr>
                <w:rFonts w:ascii="Cambria" w:hAnsi="Cambria"/>
                <w:sz w:val="19"/>
              </w:rPr>
              <w:t> </w:t>
            </w:r>
            <w:r w:rsidRPr="007E592E">
              <w:rPr>
                <w:rFonts w:ascii="Cambria" w:hAnsi="Cambria"/>
                <w:i/>
                <w:iCs/>
                <w:sz w:val="19"/>
              </w:rPr>
              <w:t>(paraksts, tā atšifrējums)</w:t>
            </w:r>
            <w:r w:rsidRPr="007E592E">
              <w:rPr>
                <w:rFonts w:ascii="Cambria" w:hAnsi="Cambria"/>
                <w:sz w:val="19"/>
              </w:rPr>
              <w:t> _______________________________</w:t>
            </w:r>
          </w:p>
        </w:tc>
        <w:tc>
          <w:tcPr>
            <w:tcW w:w="1350" w:type="pct"/>
            <w:gridSpan w:val="4"/>
            <w:hideMark/>
          </w:tcPr>
          <w:p w14:paraId="467318B4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</w:rPr>
            </w:pPr>
            <w:r w:rsidRPr="007E592E">
              <w:rPr>
                <w:rFonts w:ascii="Cambria" w:hAnsi="Cambria"/>
                <w:b/>
                <w:bCs/>
                <w:sz w:val="19"/>
              </w:rPr>
              <w:t>Pavisam kopā</w:t>
            </w:r>
          </w:p>
        </w:tc>
        <w:tc>
          <w:tcPr>
            <w:tcW w:w="300" w:type="pct"/>
            <w:hideMark/>
          </w:tcPr>
          <w:p w14:paraId="48879ABD" w14:textId="77777777" w:rsidR="006A6B09" w:rsidRPr="007E592E" w:rsidRDefault="006A6B09" w:rsidP="00566817">
            <w:pPr>
              <w:suppressAutoHyphens/>
              <w:jc w:val="right"/>
              <w:rPr>
                <w:rFonts w:ascii="Cambria" w:hAnsi="Cambria"/>
                <w:sz w:val="19"/>
              </w:rPr>
            </w:pPr>
            <w:r w:rsidRPr="007E592E">
              <w:rPr>
                <w:rFonts w:ascii="Cambria" w:hAnsi="Cambria"/>
                <w:sz w:val="19"/>
              </w:rPr>
              <w:t> </w:t>
            </w:r>
          </w:p>
        </w:tc>
      </w:tr>
    </w:tbl>
    <w:p w14:paraId="101019A7" w14:textId="77777777" w:rsidR="00FF60D4" w:rsidRDefault="00FF60D4"/>
    <w:sectPr w:rsidR="00FF60D4" w:rsidSect="006A6B0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09"/>
    <w:rsid w:val="0061094E"/>
    <w:rsid w:val="006A6B09"/>
    <w:rsid w:val="00773B89"/>
    <w:rsid w:val="00C33CC6"/>
    <w:rsid w:val="00CA3437"/>
    <w:rsid w:val="00D47DC0"/>
    <w:rsid w:val="00E9270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DEFE"/>
  <w15:chartTrackingRefBased/>
  <w15:docId w15:val="{0AB1D5F1-C18F-4104-A2DE-C82977E1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6B09"/>
    <w:pPr>
      <w:spacing w:after="0" w:line="240" w:lineRule="auto"/>
    </w:pPr>
    <w:rPr>
      <w:rFonts w:ascii="Times New Roman" w:eastAsia="MS Mincho" w:hAnsi="Times New Roman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A6B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A6B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A6B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A6B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A6B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A6B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A6B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A6B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A6B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A6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A6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A6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A6B0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A6B0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A6B0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A6B0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A6B0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A6B0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A6B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A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A6B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A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A6B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A6B0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A6B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A6B0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A6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A6B0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A6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Ingrīda Birzniece-Ezera</cp:lastModifiedBy>
  <cp:revision>2</cp:revision>
  <dcterms:created xsi:type="dcterms:W3CDTF">2025-05-15T06:17:00Z</dcterms:created>
  <dcterms:modified xsi:type="dcterms:W3CDTF">2025-05-15T06:17:00Z</dcterms:modified>
</cp:coreProperties>
</file>