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4F46" w14:textId="77777777" w:rsidR="00852334" w:rsidRDefault="0058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9F740E" wp14:editId="203413B5">
            <wp:extent cx="439633" cy="61203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33" cy="61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59D97D" w14:textId="77777777" w:rsidR="00852334" w:rsidRDefault="0058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 L I K U M S</w:t>
      </w:r>
    </w:p>
    <w:p w14:paraId="41F97EEE" w14:textId="77777777" w:rsidR="00852334" w:rsidRDefault="0058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Ropažu novada aktīva dzīvesveida SERIĀL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8755B1" w14:textId="77777777" w:rsidR="00852334" w:rsidRDefault="0058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Sakrāj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savus kilometrus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>”</w:t>
      </w:r>
    </w:p>
    <w:p w14:paraId="31EF29FD" w14:textId="77777777" w:rsidR="00852334" w:rsidRDefault="008523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F2A9BB6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Mērķis un uzdevums.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Visu paaudžu iedzīvotāju veselīga dzīvesveida un fiziskās sagatavotības veicināšana. Regulāru veselības sporta aktivitāšu tradīciju stiprināšana, interešu grupu veidošana, novada apdzīvoto vietu  popularizēšana.</w:t>
      </w:r>
    </w:p>
    <w:p w14:paraId="60A475EC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 Laiks un vieta.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Ropažu novadā, no  19. maijam līdz. 25. septembrim</w:t>
      </w:r>
    </w:p>
    <w:p w14:paraId="204CD2A7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Pasākuma vadība.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Ropažu novada pašvaldība, Sporta centrs. Pasākuma rezultātu tiesnesis sporta un veselības pasākuma organizatore Madara Tīģere-Bernharde. </w:t>
      </w:r>
    </w:p>
    <w:p w14:paraId="3E3A0412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Dalībnieki.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Ropažu novada i</w:t>
      </w:r>
      <w:r>
        <w:rPr>
          <w:rFonts w:ascii="Times New Roman" w:eastAsia="Times New Roman" w:hAnsi="Times New Roman" w:cs="Times New Roman"/>
          <w:sz w:val="24"/>
          <w:szCs w:val="24"/>
        </w:rPr>
        <w:t>edzīvotāji un viesi, j</w:t>
      </w:r>
      <w:r>
        <w:rPr>
          <w:rFonts w:ascii="Times New Roman" w:eastAsia="Times New Roman" w:hAnsi="Times New Roman" w:cs="Times New Roman"/>
          <w:sz w:val="24"/>
          <w:szCs w:val="24"/>
        </w:rPr>
        <w:t>ebkurš interesents. Dalībnieki tiek dalīti vecuma un dzimuma grupās. Ja vecuma grupā mazāk kā 4 dalībnieki, tā tiek pievienota tuvākajai vecuma grupai, kurai mazāks dalībnieku skaits.</w:t>
      </w:r>
    </w:p>
    <w:p w14:paraId="52BAF13E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Dalībnieku vecuma grupas:</w:t>
      </w:r>
    </w:p>
    <w:tbl>
      <w:tblPr>
        <w:tblStyle w:val="a"/>
        <w:tblW w:w="6615" w:type="dxa"/>
        <w:tblInd w:w="893" w:type="dxa"/>
        <w:tblLayout w:type="fixed"/>
        <w:tblLook w:val="0400" w:firstRow="0" w:lastRow="0" w:firstColumn="0" w:lastColumn="0" w:noHBand="0" w:noVBand="1"/>
      </w:tblPr>
      <w:tblGrid>
        <w:gridCol w:w="2047"/>
        <w:gridCol w:w="4568"/>
      </w:tblGrid>
      <w:tr w:rsidR="00852334" w14:paraId="4DDBBC89" w14:textId="77777777">
        <w:trPr>
          <w:trHeight w:val="18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5B508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grupa m/z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EE820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2014. g. un jaunāki (pirmsskola) </w:t>
            </w:r>
          </w:p>
        </w:tc>
      </w:tr>
      <w:tr w:rsidR="00852334" w14:paraId="106A4286" w14:textId="77777777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CB45B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 grupa m/z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FBFB5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2010.–2013. g. (sākumskola)</w:t>
            </w:r>
          </w:p>
        </w:tc>
      </w:tr>
      <w:tr w:rsidR="00852334" w14:paraId="66CB4F39" w14:textId="77777777">
        <w:trPr>
          <w:trHeight w:val="41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6C8E3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 grupa m/z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5A296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2003.–2009. g. (pamatskola)</w:t>
            </w:r>
          </w:p>
        </w:tc>
      </w:tr>
      <w:tr w:rsidR="00852334" w14:paraId="68441446" w14:textId="77777777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B2BC7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 grupa s/v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B449D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1971.–2002. g.</w:t>
            </w:r>
          </w:p>
        </w:tc>
      </w:tr>
      <w:tr w:rsidR="00852334" w14:paraId="2A0E225B" w14:textId="77777777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AA816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 grupa s/v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F019F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1972. g. un vecāki</w:t>
            </w:r>
          </w:p>
        </w:tc>
      </w:tr>
      <w:tr w:rsidR="00852334" w14:paraId="2B291109" w14:textId="77777777">
        <w:trPr>
          <w:trHeight w:val="30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8BE9E" w14:textId="77777777" w:rsidR="00852334" w:rsidRDefault="00580A1D">
            <w:pPr>
              <w:keepNext/>
              <w:widowControl w:val="0"/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 grupa s/v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5B121" w14:textId="77777777" w:rsidR="00852334" w:rsidRDefault="00580A1D">
            <w:pPr>
              <w:keepNext/>
              <w:widowControl w:val="0"/>
              <w:tabs>
                <w:tab w:val="center" w:pos="1560"/>
              </w:tabs>
              <w:spacing w:after="0" w:line="240" w:lineRule="auto"/>
              <w:ind w:right="11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Nūjotāji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</w:p>
        </w:tc>
      </w:tr>
    </w:tbl>
    <w:p w14:paraId="617F5C23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Pasākuma norises kārtība un programma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FE8AB2" w14:textId="77777777" w:rsidR="00852334" w:rsidRDefault="00580A1D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Katrs posms norisinās norādītajā vietā. </w:t>
      </w:r>
      <w:r>
        <w:rPr>
          <w:rFonts w:ascii="Times New Roman" w:eastAsia="Times New Roman" w:hAnsi="Times New Roman" w:cs="Times New Roman"/>
          <w:sz w:val="24"/>
          <w:szCs w:val="24"/>
        </w:rPr>
        <w:t>Trase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aplis,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viena apļa garums no 2 km līdz 5 km. Apļus skaits distances garumam  pēc dalībnieka brīvas izvēles. Distances ilgums ir  viena stunda, pēc 1 stundas pabeidzot iesākto apli, neuzsākot jaunu! </w:t>
      </w:r>
    </w:p>
    <w:p w14:paraId="591BC2A7" w14:textId="77777777" w:rsidR="00852334" w:rsidRDefault="00580A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Dalībnieks ierodas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distances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starta vietā </w:t>
      </w:r>
      <w:r>
        <w:rPr>
          <w:rFonts w:ascii="Times New Roman" w:eastAsia="Times New Roman" w:hAnsi="Times New Roman" w:cs="Times New Roman"/>
          <w:sz w:val="24"/>
          <w:szCs w:val="24"/>
        </w:rPr>
        <w:t>brīvi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izvēlētā laikā,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noteiktajā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datumā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ievērojot valstī noteiktos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distancēšanās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nosacījumus! Start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vieta un distance 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ķēta: uz balta fona melnas bultiņas.  Uzsākot distanci,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dalībnieks ieslēdz sev ērtāko ierīc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programmu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(sporta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pulksteni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telefona aplikācij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, dodas trasē, veic  distanci, sekojot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marķējumam (bultiņām).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skrējiena/nūjošanas, dalībnieks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nosūta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rezultātu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ekrānšāviņu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vai sporta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viedpulksteņa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Tīģere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Bernharde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tel. nr. 22194213, norādot: </w:t>
      </w:r>
    </w:p>
    <w:p w14:paraId="19076167" w14:textId="77777777" w:rsidR="00852334" w:rsidRDefault="00580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vārdu, uzvārdu, </w:t>
      </w:r>
    </w:p>
    <w:p w14:paraId="4B307300" w14:textId="77777777" w:rsidR="00852334" w:rsidRDefault="00580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vecuma grupu (d</w:t>
      </w:r>
      <w:r>
        <w:rPr>
          <w:rFonts w:ascii="Times New Roman" w:eastAsia="Times New Roman" w:hAnsi="Times New Roman" w:cs="Times New Roman"/>
          <w:sz w:val="24"/>
          <w:szCs w:val="24"/>
        </w:rPr>
        <w:t>zimšanas gadu)</w:t>
      </w:r>
    </w:p>
    <w:p w14:paraId="1CB8A4E3" w14:textId="77777777" w:rsidR="00852334" w:rsidRDefault="00580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tanci un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distances veikšanas veidu (skrien/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nūjo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</w:p>
    <w:p w14:paraId="729A62CA" w14:textId="77777777" w:rsidR="00852334" w:rsidRDefault="00580A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distances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veikšans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laiku </w:t>
      </w:r>
    </w:p>
    <w:p w14:paraId="27CCE6C8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norises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vieta un datums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ABE42D2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19. maijs, 11.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augusts,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 septembris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Zaķumuiža. </w:t>
      </w:r>
    </w:p>
    <w:p w14:paraId="70166D05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26. maijs,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 augusts,  18. septembris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Silakrogs</w:t>
      </w:r>
      <w:proofErr w:type="spellEnd"/>
    </w:p>
    <w:p w14:paraId="2761470A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jūnijs – Bajāri</w:t>
      </w:r>
    </w:p>
    <w:p w14:paraId="59EF059A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9. jūnijs,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augusts,  1. septembris, 25. septembris - Ropaži</w:t>
      </w:r>
    </w:p>
    <w:p w14:paraId="41B6BCE9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16. jūnijs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Tumšupe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Podkājas</w:t>
      </w:r>
      <w:proofErr w:type="spellEnd"/>
    </w:p>
    <w:p w14:paraId="1A7A19ED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7. jūlijs – Lielie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angari</w:t>
      </w:r>
    </w:p>
    <w:p w14:paraId="5941666C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14. jūlijs - Kākciems</w:t>
      </w:r>
    </w:p>
    <w:p w14:paraId="3D032875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21. jūlijs - Mucenieki</w:t>
      </w:r>
    </w:p>
    <w:p w14:paraId="3D33E792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28. jūlijs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Augšciems</w:t>
      </w:r>
      <w:proofErr w:type="spellEnd"/>
    </w:p>
    <w:p w14:paraId="0B47A86E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25. augusts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Tumšupe</w:t>
      </w:r>
      <w:proofErr w:type="spellEnd"/>
    </w:p>
    <w:p w14:paraId="57153603" w14:textId="77777777" w:rsidR="00852334" w:rsidRDefault="00580A1D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22. septembris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Nāgelmuiža</w:t>
      </w:r>
      <w:proofErr w:type="spellEnd"/>
    </w:p>
    <w:p w14:paraId="63C5F7D1" w14:textId="77777777" w:rsidR="00852334" w:rsidRDefault="00852334">
      <w:pPr>
        <w:spacing w:after="0" w:line="240" w:lineRule="auto"/>
        <w:ind w:right="11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0E7E4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Vērtēšana.</w:t>
      </w:r>
      <w:r>
        <w:rPr>
          <w:rFonts w:ascii="Times New Roman" w:eastAsia="Times New Roman" w:hAnsi="Times New Roman" w:cs="Times New Roman"/>
          <w:sz w:val="24"/>
          <w:szCs w:val="24"/>
        </w:rPr>
        <w:t> Tiek noteikti k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opvērtējuma 1.-3. vietas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ieguvējii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katrā grupā, vērtējot dalībnieku individuālos augstākos rezultātus - lielāko veikto kilome</w:t>
      </w:r>
      <w:r>
        <w:rPr>
          <w:rFonts w:ascii="Times New Roman" w:eastAsia="Times New Roman" w:hAnsi="Times New Roman" w:cs="Times New Roman"/>
          <w:sz w:val="21"/>
          <w:szCs w:val="21"/>
        </w:rPr>
        <w:t>tru skaitu 6 posmos. Vi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enāda rezultāta gadījumā, augstāka vieta dalībniekam, kurš veicis lielāku kilometru skaitu  vairāk posmos (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1.- 7, 2.- 8 , utt. posmos).</w:t>
      </w:r>
    </w:p>
    <w:p w14:paraId="4F8CDCEF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Apbalvošana.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Seriāla kopvērtējumā ar medaļām un balvām tiek apbalvoti 1.–3.vietu ieguvēji katrā vecuma grupā. ar veicināšanas balvām tiks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apbalvieti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dalībnieki kuri ieradušie uz visvairāk posmiem un kurš savācis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vissvairāk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 kilo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metrus kopā.</w:t>
      </w:r>
    </w:p>
    <w:p w14:paraId="6A04A51F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Izdevumi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Pasākuma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organizācijas izdevumus sedz Ropažu novada pašvaldība no Sporta centra budžeta. Dalībnieki sedz personīgos izdevumus, kas saistīti ar dalību pasākumā.</w:t>
      </w:r>
    </w:p>
    <w:p w14:paraId="4F3F9078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Pieteikumi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atbildība  un datu drošība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Dalībnieks  automātiski tiek pieteikts pasākumam, nosūtot pirmo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reizi sav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rezultātu, un uzņemas pilnu atbildību par savu veselības stāvokli aktivitāšu laikā un akceptē savu personas datu (vārds, uzvārds, foto) izmantošanu rezultātu apstrādāšanai un publicēšanai pašvaldības informatīvajās vietnēs,  www.ropazi.lv,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Faceb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lapā; kā arī apņemas ievērot ceļa satiksmes noteikumus, personīgo un bērnu drošību, visus Latvijā noteiktos tā brīža epidemioloģiskās drošības nosacījumus. </w:t>
      </w:r>
    </w:p>
    <w:p w14:paraId="54962F3F" w14:textId="77777777" w:rsidR="00852334" w:rsidRDefault="00580A1D">
      <w:pPr>
        <w:numPr>
          <w:ilvl w:val="0"/>
          <w:numId w:val="1"/>
        </w:numPr>
        <w:spacing w:after="0" w:line="240" w:lineRule="auto"/>
        <w:ind w:left="0" w:right="11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Informācija un pasākuma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publikācija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.Vairāk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informācijas, jautājumi par aktivitāti, rakstīt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Tīģere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Bernharde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nr. 22194213. Pasākuma notikumi, rezultāti, foto tiks publicēti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Ropažu novada pašvaldības informatīvajās vietnēs un izdevumos, sociālajos tīklos veselīga dzīvesveida popularizēšanai. Dalībnieks, kurš nevēlas, lai  informāc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iju par viņa  dalību pasākumā, viņa foto, video publicē, iesniedz organizatoram rakstisku lūgumu par savu datu un informācijas nepubliskošanu - līdz pasākuma sākumam, reģistrējoties.</w:t>
      </w:r>
    </w:p>
    <w:sectPr w:rsidR="00852334">
      <w:pgSz w:w="11906" w:h="16838"/>
      <w:pgMar w:top="708" w:right="1429" w:bottom="144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722"/>
    <w:multiLevelType w:val="multilevel"/>
    <w:tmpl w:val="F4920C26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EC5711F"/>
    <w:multiLevelType w:val="multilevel"/>
    <w:tmpl w:val="084E12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34"/>
    <w:rsid w:val="00185C9C"/>
    <w:rsid w:val="00580A1D"/>
    <w:rsid w:val="008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6BCA8"/>
  <w15:docId w15:val="{B76D629B-F814-4651-BF74-7E3299DD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Izteiksmgs">
    <w:name w:val="Strong"/>
    <w:basedOn w:val="Noklusjumarindkopasfonts"/>
    <w:uiPriority w:val="22"/>
    <w:qFormat/>
    <w:rsid w:val="00C462D9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9C01F0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2D49"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4NHeUyMneAR9Xg+vLJVIWm7RFA==">AMUW2mVDt7ZpZ0e8ex6c3kRHotDGikFT7qEBxKXIIKnuvwtx/f4UJ0ABcD25J+nPhKaP63EbX3BFE1GjB8jv7P3Eh1n7V1RlMUMSMBrfGgQrsQQZU4Wi45Gk6OJFwpUmqHKz/y2r4iNA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2652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bernhards@inbox.lv</dc:creator>
  <cp:revision>1</cp:revision>
  <dcterms:created xsi:type="dcterms:W3CDTF">2021-05-11T10:03:00Z</dcterms:created>
</cp:coreProperties>
</file>